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2AF66" w14:textId="2AF75F06" w:rsidR="003C5B11" w:rsidRPr="009A7A00" w:rsidRDefault="003C5B11" w:rsidP="009A7A00">
      <w:pPr>
        <w:spacing w:after="0" w:line="240" w:lineRule="auto"/>
        <w:contextualSpacing/>
        <w:jc w:val="center"/>
        <w:rPr>
          <w:rFonts w:ascii="Times New Roman" w:hAnsi="Times New Roman" w:cs="Times New Roman"/>
          <w:b/>
          <w:bCs/>
          <w:sz w:val="24"/>
          <w:szCs w:val="24"/>
        </w:rPr>
      </w:pPr>
      <w:r w:rsidRPr="009A7A00">
        <w:rPr>
          <w:rFonts w:ascii="Times New Roman" w:eastAsia="Arial" w:hAnsi="Times New Roman" w:cs="Times New Roman"/>
          <w:b/>
          <w:bCs/>
          <w:sz w:val="24"/>
          <w:szCs w:val="24"/>
        </w:rPr>
        <w:t>KOKYBĖS KRITERIJAI IR JŲ VERTINIMAS</w:t>
      </w:r>
    </w:p>
    <w:p w14:paraId="5A5DED6C" w14:textId="77777777" w:rsidR="003C5B11" w:rsidRPr="006B7B78" w:rsidRDefault="003C5B11" w:rsidP="009A7A00">
      <w:pPr>
        <w:spacing w:after="0" w:line="240" w:lineRule="auto"/>
        <w:contextualSpacing/>
        <w:jc w:val="both"/>
        <w:rPr>
          <w:rFonts w:ascii="Times New Roman" w:hAnsi="Times New Roman" w:cs="Times New Roman"/>
          <w:sz w:val="24"/>
          <w:szCs w:val="24"/>
        </w:rPr>
      </w:pPr>
    </w:p>
    <w:p w14:paraId="7613526F" w14:textId="1E90FA55" w:rsidR="00D51604" w:rsidRDefault="007E6424" w:rsidP="009A7A00">
      <w:pPr>
        <w:numPr>
          <w:ilvl w:val="0"/>
          <w:numId w:val="1"/>
        </w:numPr>
        <w:tabs>
          <w:tab w:val="left" w:pos="1080"/>
        </w:tabs>
        <w:spacing w:after="0" w:line="240" w:lineRule="auto"/>
        <w:ind w:left="0" w:firstLine="720"/>
        <w:contextualSpacing/>
        <w:jc w:val="both"/>
        <w:rPr>
          <w:rFonts w:ascii="Times New Roman" w:hAnsi="Times New Roman" w:cs="Times New Roman"/>
          <w:sz w:val="24"/>
          <w:szCs w:val="24"/>
        </w:rPr>
      </w:pPr>
      <w:r w:rsidRPr="006B7B78">
        <w:rPr>
          <w:rFonts w:ascii="Times New Roman" w:hAnsi="Times New Roman" w:cs="Times New Roman"/>
          <w:sz w:val="24"/>
          <w:szCs w:val="24"/>
        </w:rPr>
        <w:t>Perkančioji organizacija ekonomiškai naudingiausią pasiūlymą išrenka</w:t>
      </w:r>
      <w:r w:rsidR="006733DE">
        <w:rPr>
          <w:rFonts w:ascii="Times New Roman" w:hAnsi="Times New Roman" w:cs="Times New Roman"/>
          <w:sz w:val="24"/>
          <w:szCs w:val="24"/>
        </w:rPr>
        <w:t>mas</w:t>
      </w:r>
      <w:r w:rsidRPr="006B7B78">
        <w:rPr>
          <w:rFonts w:ascii="Times New Roman" w:hAnsi="Times New Roman" w:cs="Times New Roman"/>
          <w:sz w:val="24"/>
          <w:szCs w:val="24"/>
        </w:rPr>
        <w:t xml:space="preserve"> pagal kain</w:t>
      </w:r>
      <w:r w:rsidR="006733DE">
        <w:rPr>
          <w:rFonts w:ascii="Times New Roman" w:hAnsi="Times New Roman" w:cs="Times New Roman"/>
          <w:sz w:val="24"/>
          <w:szCs w:val="24"/>
        </w:rPr>
        <w:t>os</w:t>
      </w:r>
      <w:r w:rsidRPr="006B7B78">
        <w:rPr>
          <w:rFonts w:ascii="Times New Roman" w:hAnsi="Times New Roman" w:cs="Times New Roman"/>
          <w:sz w:val="24"/>
          <w:szCs w:val="24"/>
        </w:rPr>
        <w:t xml:space="preserve"> ir su pirkimo objektu susijusi</w:t>
      </w:r>
      <w:r w:rsidR="00A52BD9">
        <w:rPr>
          <w:rFonts w:ascii="Times New Roman" w:hAnsi="Times New Roman" w:cs="Times New Roman"/>
          <w:sz w:val="24"/>
          <w:szCs w:val="24"/>
        </w:rPr>
        <w:t>ų</w:t>
      </w:r>
      <w:r w:rsidRPr="006B7B78">
        <w:rPr>
          <w:rFonts w:ascii="Times New Roman" w:hAnsi="Times New Roman" w:cs="Times New Roman"/>
          <w:sz w:val="24"/>
          <w:szCs w:val="24"/>
        </w:rPr>
        <w:t xml:space="preserve"> </w:t>
      </w:r>
      <w:r w:rsidR="00DF1B3A">
        <w:rPr>
          <w:rFonts w:ascii="Times New Roman" w:hAnsi="Times New Roman" w:cs="Times New Roman"/>
          <w:sz w:val="24"/>
          <w:szCs w:val="24"/>
        </w:rPr>
        <w:t xml:space="preserve">kokybės </w:t>
      </w:r>
      <w:r w:rsidRPr="006B7B78">
        <w:rPr>
          <w:rFonts w:ascii="Times New Roman" w:hAnsi="Times New Roman" w:cs="Times New Roman"/>
          <w:sz w:val="24"/>
          <w:szCs w:val="24"/>
        </w:rPr>
        <w:t>kriterij</w:t>
      </w:r>
      <w:r w:rsidR="00DF1B3A">
        <w:rPr>
          <w:rFonts w:ascii="Times New Roman" w:hAnsi="Times New Roman" w:cs="Times New Roman"/>
          <w:sz w:val="24"/>
          <w:szCs w:val="24"/>
        </w:rPr>
        <w:t>ų santykį</w:t>
      </w:r>
      <w:r w:rsidRPr="006B7B78">
        <w:rPr>
          <w:rFonts w:ascii="Times New Roman" w:hAnsi="Times New Roman" w:cs="Times New Roman"/>
          <w:sz w:val="24"/>
          <w:szCs w:val="24"/>
        </w:rPr>
        <w:t>, vadovaudamasi šiame priede nustatyta vertinimo tvarka.</w:t>
      </w:r>
    </w:p>
    <w:p w14:paraId="72A51C18" w14:textId="494196E8" w:rsidR="00BD4128" w:rsidRPr="00BD4128" w:rsidRDefault="00BD4128" w:rsidP="00BD4128">
      <w:pPr>
        <w:pStyle w:val="ListParagraph"/>
        <w:numPr>
          <w:ilvl w:val="0"/>
          <w:numId w:val="1"/>
        </w:numPr>
        <w:tabs>
          <w:tab w:val="left" w:pos="1080"/>
          <w:tab w:val="left" w:pos="1701"/>
        </w:tabs>
        <w:spacing w:after="0" w:line="240" w:lineRule="auto"/>
        <w:ind w:left="0" w:firstLine="720"/>
        <w:jc w:val="both"/>
        <w:rPr>
          <w:rFonts w:ascii="Times New Roman" w:hAnsi="Times New Roman" w:cs="Times New Roman"/>
          <w:sz w:val="24"/>
          <w:szCs w:val="24"/>
        </w:rPr>
      </w:pPr>
      <w:r w:rsidRPr="00BD4128">
        <w:rPr>
          <w:rFonts w:ascii="Times New Roman" w:hAnsi="Times New Roman" w:cs="Times New Roman"/>
          <w:b/>
          <w:bCs/>
          <w:sz w:val="24"/>
          <w:szCs w:val="24"/>
        </w:rPr>
        <w:t>Pasiūlymo ekonominio naudingumo balai</w:t>
      </w:r>
      <w:r>
        <w:rPr>
          <w:rFonts w:ascii="Times New Roman" w:hAnsi="Times New Roman" w:cs="Times New Roman"/>
          <w:b/>
          <w:bCs/>
          <w:sz w:val="24"/>
          <w:szCs w:val="24"/>
        </w:rPr>
        <w:t xml:space="preserve"> ir </w:t>
      </w:r>
      <w:r w:rsidRPr="00BD4128">
        <w:rPr>
          <w:rFonts w:ascii="Times New Roman" w:hAnsi="Times New Roman" w:cs="Times New Roman"/>
          <w:b/>
          <w:bCs/>
          <w:sz w:val="24"/>
          <w:szCs w:val="24"/>
        </w:rPr>
        <w:t>apskaičiavimo tvarka:</w:t>
      </w:r>
    </w:p>
    <w:p w14:paraId="4333B4F6" w14:textId="77777777" w:rsidR="00BD4128" w:rsidRPr="00BD4128" w:rsidRDefault="00BD4128" w:rsidP="00BD4128">
      <w:pPr>
        <w:tabs>
          <w:tab w:val="left" w:pos="851"/>
        </w:tabs>
        <w:spacing w:after="0" w:line="240" w:lineRule="auto"/>
        <w:ind w:firstLine="720"/>
        <w:jc w:val="both"/>
        <w:rPr>
          <w:rFonts w:ascii="Times New Roman" w:hAnsi="Times New Roman" w:cs="Times New Roman"/>
          <w:sz w:val="24"/>
          <w:szCs w:val="24"/>
        </w:rPr>
      </w:pPr>
      <w:r w:rsidRPr="00BD4128">
        <w:rPr>
          <w:rFonts w:ascii="Times New Roman" w:hAnsi="Times New Roman" w:cs="Times New Roman"/>
          <w:bCs/>
          <w:sz w:val="24"/>
          <w:szCs w:val="24"/>
          <w:lang w:eastAsia="zh-CN"/>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Pr="00BD4128">
        <w:rPr>
          <w:rFonts w:ascii="Times New Roman" w:hAnsi="Times New Roman" w:cs="Times New Roman"/>
          <w:bCs/>
          <w:sz w:val="24"/>
          <w:szCs w:val="24"/>
          <w:lang w:eastAsia="zh-CN"/>
        </w:rPr>
        <w:t>Telgen</w:t>
      </w:r>
      <w:proofErr w:type="spellEnd"/>
      <w:r w:rsidRPr="00BD4128">
        <w:rPr>
          <w:rFonts w:ascii="Times New Roman" w:hAnsi="Times New Roman" w:cs="Times New Roman"/>
          <w:bCs/>
          <w:sz w:val="24"/>
          <w:szCs w:val="24"/>
          <w:lang w:eastAsia="zh-CN"/>
        </w:rPr>
        <w:t xml:space="preserve"> (absoliutinė)) (pridedama prie Pirkimo dokumentų).</w:t>
      </w:r>
    </w:p>
    <w:p w14:paraId="31B21F1B" w14:textId="77777777" w:rsidR="00BD4128" w:rsidRPr="00BD4128" w:rsidRDefault="00BD4128" w:rsidP="00564B61">
      <w:pPr>
        <w:tabs>
          <w:tab w:val="left" w:pos="851"/>
        </w:tabs>
        <w:spacing w:after="0" w:line="240" w:lineRule="auto"/>
        <w:ind w:firstLine="720"/>
        <w:jc w:val="both"/>
        <w:rPr>
          <w:rFonts w:ascii="Times New Roman" w:hAnsi="Times New Roman" w:cs="Times New Roman"/>
          <w:bCs/>
          <w:sz w:val="24"/>
          <w:szCs w:val="24"/>
          <w:lang w:eastAsia="zh-CN"/>
        </w:rPr>
      </w:pPr>
      <w:r w:rsidRPr="00BD4128">
        <w:rPr>
          <w:rFonts w:ascii="Times New Roman" w:hAnsi="Times New Roman" w:cs="Times New Roman"/>
          <w:bCs/>
          <w:sz w:val="24"/>
          <w:szCs w:val="24"/>
          <w:lang w:eastAsia="zh-CN"/>
        </w:rPr>
        <w:t xml:space="preserve">Pagal šią formulę laimėtoju pripažįstamas pasiūlymas, surinkęs didžiausią balų skaičių. </w:t>
      </w:r>
    </w:p>
    <w:p w14:paraId="19600B34" w14:textId="48DCDD9C" w:rsidR="00BD4128" w:rsidRPr="00BD4128" w:rsidRDefault="00BD4128" w:rsidP="00564B61">
      <w:pPr>
        <w:tabs>
          <w:tab w:val="left" w:pos="851"/>
        </w:tabs>
        <w:spacing w:after="0" w:line="240" w:lineRule="auto"/>
        <w:ind w:firstLine="720"/>
        <w:jc w:val="both"/>
        <w:rPr>
          <w:rFonts w:ascii="Times New Roman" w:hAnsi="Times New Roman" w:cs="Times New Roman"/>
          <w:bCs/>
          <w:sz w:val="24"/>
          <w:szCs w:val="24"/>
          <w:lang w:eastAsia="zh-CN"/>
        </w:rPr>
      </w:pPr>
      <w:r w:rsidRPr="00BD4128">
        <w:rPr>
          <w:rFonts w:ascii="Times New Roman" w:hAnsi="Times New Roman" w:cs="Times New Roman"/>
          <w:bCs/>
          <w:sz w:val="24"/>
          <w:szCs w:val="24"/>
          <w:lang w:eastAsia="zh-CN"/>
        </w:rPr>
        <w:t xml:space="preserve">Jeigu pasiūlyta kaina lygi </w:t>
      </w:r>
      <w:proofErr w:type="spellStart"/>
      <w:r w:rsidRPr="00BD4128">
        <w:rPr>
          <w:rFonts w:ascii="Times New Roman" w:hAnsi="Times New Roman" w:cs="Times New Roman"/>
          <w:bCs/>
          <w:sz w:val="24"/>
          <w:szCs w:val="24"/>
          <w:lang w:eastAsia="zh-CN"/>
        </w:rPr>
        <w:t>PSetMax</w:t>
      </w:r>
      <w:proofErr w:type="spellEnd"/>
      <w:r w:rsidRPr="00BD4128">
        <w:rPr>
          <w:rFonts w:ascii="Times New Roman" w:hAnsi="Times New Roman" w:cs="Times New Roman"/>
          <w:bCs/>
          <w:sz w:val="24"/>
          <w:szCs w:val="24"/>
          <w:lang w:eastAsia="zh-CN"/>
        </w:rPr>
        <w:t xml:space="preserve">, tuomet pasiūlymui už kainą suteikiama 0 balų, o pasiūlymams, kurių kaina artėja link </w:t>
      </w:r>
      <w:proofErr w:type="spellStart"/>
      <w:r w:rsidRPr="00BD4128">
        <w:rPr>
          <w:rFonts w:ascii="Times New Roman" w:hAnsi="Times New Roman" w:cs="Times New Roman"/>
          <w:bCs/>
          <w:sz w:val="24"/>
          <w:szCs w:val="24"/>
          <w:lang w:eastAsia="zh-CN"/>
        </w:rPr>
        <w:t>PSetMin</w:t>
      </w:r>
      <w:proofErr w:type="spellEnd"/>
      <w:r w:rsidRPr="00BD4128">
        <w:rPr>
          <w:rFonts w:ascii="Times New Roman" w:hAnsi="Times New Roman" w:cs="Times New Roman"/>
          <w:bCs/>
          <w:sz w:val="24"/>
          <w:szCs w:val="24"/>
          <w:lang w:eastAsia="zh-CN"/>
        </w:rPr>
        <w:t xml:space="preserve">, atitinkamai suteikiamas vis didesnis teigiamas balų skaičius. Pasiūlymui, kurio kaina yra lygi </w:t>
      </w:r>
      <w:proofErr w:type="spellStart"/>
      <w:r w:rsidRPr="00BD4128">
        <w:rPr>
          <w:rFonts w:ascii="Times New Roman" w:hAnsi="Times New Roman" w:cs="Times New Roman"/>
          <w:bCs/>
          <w:sz w:val="24"/>
          <w:szCs w:val="24"/>
          <w:lang w:eastAsia="zh-CN"/>
        </w:rPr>
        <w:t>PSetMax</w:t>
      </w:r>
      <w:proofErr w:type="spellEnd"/>
      <w:r w:rsidRPr="00BD4128">
        <w:rPr>
          <w:rFonts w:ascii="Times New Roman" w:hAnsi="Times New Roman" w:cs="Times New Roman"/>
          <w:bCs/>
          <w:sz w:val="24"/>
          <w:szCs w:val="24"/>
          <w:lang w:eastAsia="zh-CN"/>
        </w:rPr>
        <w:t xml:space="preserve">, suteikiamas balų skaičius yra lygus kainai suteiktam lyginamajam svoriui, o pasiūlymams, kurių kaina žemesnė už </w:t>
      </w:r>
      <w:proofErr w:type="spellStart"/>
      <w:r w:rsidRPr="00BD4128">
        <w:rPr>
          <w:rFonts w:ascii="Times New Roman" w:hAnsi="Times New Roman" w:cs="Times New Roman"/>
          <w:bCs/>
          <w:sz w:val="24"/>
          <w:szCs w:val="24"/>
          <w:lang w:eastAsia="zh-CN"/>
        </w:rPr>
        <w:t>PSetMin</w:t>
      </w:r>
      <w:proofErr w:type="spellEnd"/>
      <w:r w:rsidRPr="00BD4128">
        <w:rPr>
          <w:rFonts w:ascii="Times New Roman" w:hAnsi="Times New Roman" w:cs="Times New Roman"/>
          <w:bCs/>
          <w:sz w:val="24"/>
          <w:szCs w:val="24"/>
          <w:lang w:eastAsia="zh-CN"/>
        </w:rPr>
        <w:t>, suteikiamų balų skaičius bus didesnis už lyginamąjį svorį.</w:t>
      </w:r>
    </w:p>
    <w:p w14:paraId="149A8CCE" w14:textId="48F2D3F8" w:rsidR="00BD4128" w:rsidRPr="00BD4128" w:rsidRDefault="00BD4128" w:rsidP="00564B61">
      <w:pPr>
        <w:tabs>
          <w:tab w:val="left" w:pos="851"/>
        </w:tabs>
        <w:spacing w:after="0" w:line="240" w:lineRule="auto"/>
        <w:ind w:firstLine="720"/>
        <w:jc w:val="both"/>
        <w:rPr>
          <w:rFonts w:ascii="Times New Roman" w:hAnsi="Times New Roman" w:cs="Times New Roman"/>
          <w:b/>
          <w:sz w:val="24"/>
          <w:szCs w:val="24"/>
        </w:rPr>
      </w:pPr>
      <w:r w:rsidRPr="00BD4128">
        <w:rPr>
          <w:rFonts w:ascii="Times New Roman" w:hAnsi="Times New Roman" w:cs="Times New Roman"/>
          <w:bCs/>
          <w:sz w:val="24"/>
          <w:szCs w:val="24"/>
          <w:lang w:eastAsia="zh-CN"/>
        </w:rPr>
        <w:t xml:space="preserve">Perkančioji organizacija nustato, kad </w:t>
      </w:r>
      <w:proofErr w:type="spellStart"/>
      <w:r w:rsidRPr="00BD4128">
        <w:rPr>
          <w:rFonts w:ascii="Times New Roman" w:hAnsi="Times New Roman" w:cs="Times New Roman"/>
          <w:bCs/>
          <w:sz w:val="24"/>
          <w:szCs w:val="24"/>
          <w:lang w:eastAsia="zh-CN"/>
        </w:rPr>
        <w:t>PsetMin</w:t>
      </w:r>
      <w:proofErr w:type="spellEnd"/>
      <w:r w:rsidRPr="00BD4128">
        <w:rPr>
          <w:rFonts w:ascii="Times New Roman" w:hAnsi="Times New Roman" w:cs="Times New Roman"/>
          <w:bCs/>
          <w:sz w:val="24"/>
          <w:szCs w:val="24"/>
          <w:lang w:eastAsia="zh-CN"/>
        </w:rPr>
        <w:t xml:space="preserve"> lygi 0, </w:t>
      </w:r>
      <w:proofErr w:type="spellStart"/>
      <w:r w:rsidRPr="00BD4128">
        <w:rPr>
          <w:rFonts w:ascii="Times New Roman" w:hAnsi="Times New Roman" w:cs="Times New Roman"/>
          <w:bCs/>
          <w:sz w:val="24"/>
          <w:szCs w:val="24"/>
          <w:lang w:eastAsia="zh-CN"/>
        </w:rPr>
        <w:t>PsetMax</w:t>
      </w:r>
      <w:proofErr w:type="spellEnd"/>
      <w:r w:rsidRPr="00BD4128">
        <w:rPr>
          <w:rFonts w:ascii="Times New Roman" w:hAnsi="Times New Roman" w:cs="Times New Roman"/>
          <w:bCs/>
          <w:sz w:val="24"/>
          <w:szCs w:val="24"/>
          <w:lang w:eastAsia="zh-CN"/>
        </w:rPr>
        <w:t xml:space="preserve"> lygi suplanuotai pirkimų lėšų sumai su PVM, nustatytai prieš pradedant pirkimo procedūras, </w:t>
      </w:r>
      <w:r w:rsidRPr="00BD4128">
        <w:rPr>
          <w:rFonts w:ascii="Times New Roman" w:hAnsi="Times New Roman" w:cs="Times New Roman"/>
          <w:b/>
          <w:sz w:val="24"/>
          <w:szCs w:val="24"/>
          <w:lang w:eastAsia="zh-CN"/>
        </w:rPr>
        <w:t xml:space="preserve">t. y. </w:t>
      </w:r>
      <w:r w:rsidR="003B4B9C" w:rsidRPr="00E1609D">
        <w:rPr>
          <w:rFonts w:ascii="Times New Roman" w:hAnsi="Times New Roman" w:cs="Times New Roman"/>
          <w:b/>
          <w:bCs/>
          <w:sz w:val="24"/>
          <w:szCs w:val="24"/>
        </w:rPr>
        <w:t>772 749,00 Eur su PVM</w:t>
      </w:r>
      <w:r w:rsidRPr="00BD4128">
        <w:rPr>
          <w:rFonts w:ascii="Times New Roman" w:hAnsi="Times New Roman" w:cs="Times New Roman"/>
          <w:b/>
          <w:sz w:val="24"/>
          <w:szCs w:val="24"/>
          <w:lang w:eastAsia="zh-CN"/>
        </w:rPr>
        <w:t>.</w:t>
      </w:r>
    </w:p>
    <w:p w14:paraId="0818762F" w14:textId="77777777" w:rsidR="00BD4128" w:rsidRPr="00BD4128" w:rsidRDefault="00BD4128" w:rsidP="003B4B9C">
      <w:pPr>
        <w:tabs>
          <w:tab w:val="left" w:pos="851"/>
        </w:tabs>
        <w:spacing w:after="0" w:line="240" w:lineRule="auto"/>
        <w:ind w:firstLine="720"/>
        <w:jc w:val="both"/>
        <w:rPr>
          <w:rFonts w:ascii="Times New Roman" w:hAnsi="Times New Roman" w:cs="Times New Roman"/>
          <w:b/>
          <w:sz w:val="24"/>
          <w:szCs w:val="24"/>
        </w:rPr>
      </w:pPr>
      <w:r w:rsidRPr="00BD4128">
        <w:rPr>
          <w:rFonts w:ascii="Times New Roman" w:hAnsi="Times New Roman" w:cs="Times New Roman"/>
          <w:sz w:val="24"/>
          <w:szCs w:val="24"/>
        </w:rPr>
        <w:t>Tais atvejais, kai kelių dalyvių pasiūlymų ekonominis naudingumas yra vienodas, nustatant pasiūlymų eilę, pirmesnis į šią eilę įrašomas dalyvis, kurio pasiūlymas pateiktas anksčiausiai.</w:t>
      </w:r>
    </w:p>
    <w:p w14:paraId="3740C063" w14:textId="47E91136" w:rsidR="007E6424" w:rsidRPr="00E1609D" w:rsidRDefault="007E6424" w:rsidP="009A7A00">
      <w:pPr>
        <w:numPr>
          <w:ilvl w:val="0"/>
          <w:numId w:val="1"/>
        </w:numPr>
        <w:tabs>
          <w:tab w:val="left" w:pos="1080"/>
        </w:tabs>
        <w:spacing w:after="0" w:line="240" w:lineRule="auto"/>
        <w:ind w:left="0" w:firstLine="720"/>
        <w:contextualSpacing/>
        <w:jc w:val="both"/>
        <w:rPr>
          <w:rFonts w:ascii="Times New Roman" w:hAnsi="Times New Roman" w:cs="Times New Roman"/>
          <w:sz w:val="24"/>
          <w:szCs w:val="24"/>
        </w:rPr>
      </w:pPr>
      <w:r w:rsidRPr="00E1609D">
        <w:rPr>
          <w:rFonts w:ascii="Times New Roman" w:hAnsi="Times New Roman" w:cs="Times New Roman"/>
          <w:sz w:val="24"/>
          <w:szCs w:val="24"/>
        </w:rPr>
        <w:t>Pasiūlymų vertinimo kriterijai</w:t>
      </w:r>
      <w:r w:rsidR="00496831">
        <w:rPr>
          <w:rFonts w:ascii="Times New Roman" w:hAnsi="Times New Roman" w:cs="Times New Roman"/>
          <w:sz w:val="24"/>
          <w:szCs w:val="24"/>
        </w:rPr>
        <w:t xml:space="preserve"> nurodyti 1 lentelėje:</w:t>
      </w:r>
    </w:p>
    <w:p w14:paraId="4A21629E" w14:textId="77777777" w:rsidR="007E6424" w:rsidRPr="006B7B78" w:rsidRDefault="007E6424" w:rsidP="009A7A00">
      <w:pPr>
        <w:tabs>
          <w:tab w:val="left" w:pos="1134"/>
          <w:tab w:val="left" w:pos="1620"/>
        </w:tabs>
        <w:spacing w:after="0" w:line="240" w:lineRule="auto"/>
        <w:jc w:val="both"/>
        <w:rPr>
          <w:rFonts w:ascii="Times New Roman" w:eastAsia="Times New Roman" w:hAnsi="Times New Roman" w:cs="Times New Roman"/>
          <w:sz w:val="24"/>
          <w:szCs w:val="24"/>
          <w:lang w:eastAsia="en-US"/>
        </w:rPr>
      </w:pPr>
    </w:p>
    <w:p w14:paraId="7DD11A44" w14:textId="29AEDB43" w:rsidR="007E6424" w:rsidRPr="00E1609D" w:rsidRDefault="00E1609D" w:rsidP="009A7A00">
      <w:pPr>
        <w:pStyle w:val="Caption"/>
        <w:keepNext/>
        <w:spacing w:after="0"/>
        <w:rPr>
          <w:rFonts w:ascii="Times New Roman" w:hAnsi="Times New Roman" w:cs="Times New Roman"/>
          <w:color w:val="auto"/>
          <w:sz w:val="24"/>
          <w:szCs w:val="24"/>
        </w:rPr>
      </w:pPr>
      <w:r w:rsidRPr="00E1609D">
        <w:rPr>
          <w:rFonts w:ascii="Times New Roman" w:hAnsi="Times New Roman" w:cs="Times New Roman"/>
          <w:color w:val="auto"/>
          <w:sz w:val="24"/>
          <w:szCs w:val="24"/>
        </w:rPr>
        <w:t>1</w:t>
      </w:r>
      <w:r w:rsidR="007E6424" w:rsidRPr="00E1609D">
        <w:rPr>
          <w:rFonts w:ascii="Times New Roman" w:hAnsi="Times New Roman" w:cs="Times New Roman"/>
          <w:color w:val="auto"/>
          <w:sz w:val="24"/>
          <w:szCs w:val="24"/>
        </w:rPr>
        <w:t xml:space="preserve"> lentelė. Pasiūlymų vertinimo kriterijai</w:t>
      </w:r>
    </w:p>
    <w:tbl>
      <w:tblPr>
        <w:tblStyle w:val="TableGrid"/>
        <w:tblW w:w="14009" w:type="dxa"/>
        <w:jc w:val="center"/>
        <w:tblInd w:w="0" w:type="dxa"/>
        <w:tblLook w:val="04A0" w:firstRow="1" w:lastRow="0" w:firstColumn="1" w:lastColumn="0" w:noHBand="0" w:noVBand="1"/>
      </w:tblPr>
      <w:tblGrid>
        <w:gridCol w:w="4135"/>
        <w:gridCol w:w="4320"/>
        <w:gridCol w:w="4050"/>
        <w:gridCol w:w="1491"/>
        <w:gridCol w:w="13"/>
      </w:tblGrid>
      <w:tr w:rsidR="007E6424" w:rsidRPr="009A7A00" w14:paraId="36FC8862" w14:textId="77777777" w:rsidTr="001C1C4D">
        <w:trPr>
          <w:jc w:val="center"/>
        </w:trPr>
        <w:tc>
          <w:tcPr>
            <w:tcW w:w="4135" w:type="dxa"/>
            <w:vAlign w:val="center"/>
          </w:tcPr>
          <w:p w14:paraId="59E99EDC" w14:textId="77777777" w:rsidR="007E6424" w:rsidRPr="009A7A00" w:rsidRDefault="007E6424" w:rsidP="009A7A00">
            <w:pPr>
              <w:tabs>
                <w:tab w:val="left" w:pos="1134"/>
                <w:tab w:val="left" w:pos="1620"/>
              </w:tabs>
              <w:spacing w:line="240" w:lineRule="auto"/>
              <w:jc w:val="center"/>
              <w:rPr>
                <w:rFonts w:eastAsia="Times New Roman" w:hAnsi="Times New Roman" w:cs="Times New Roman"/>
                <w:sz w:val="22"/>
                <w:szCs w:val="22"/>
              </w:rPr>
            </w:pPr>
            <w:r w:rsidRPr="009A7A00">
              <w:rPr>
                <w:rFonts w:eastAsia="Times New Roman" w:hAnsi="Times New Roman" w:cs="Times New Roman"/>
                <w:b/>
                <w:bCs/>
                <w:color w:val="000000"/>
                <w:sz w:val="22"/>
                <w:szCs w:val="22"/>
              </w:rPr>
              <w:t>Kriterijus</w:t>
            </w:r>
          </w:p>
        </w:tc>
        <w:tc>
          <w:tcPr>
            <w:tcW w:w="4320" w:type="dxa"/>
            <w:vAlign w:val="center"/>
          </w:tcPr>
          <w:p w14:paraId="72803702" w14:textId="77777777" w:rsidR="007E6424" w:rsidRPr="009A7A00" w:rsidRDefault="007E6424" w:rsidP="009A7A00">
            <w:pPr>
              <w:tabs>
                <w:tab w:val="left" w:pos="1134"/>
                <w:tab w:val="left" w:pos="1620"/>
              </w:tabs>
              <w:spacing w:line="240" w:lineRule="auto"/>
              <w:jc w:val="center"/>
              <w:rPr>
                <w:rFonts w:eastAsia="Times New Roman" w:hAnsi="Times New Roman" w:cs="Times New Roman"/>
                <w:sz w:val="22"/>
                <w:szCs w:val="22"/>
              </w:rPr>
            </w:pPr>
            <w:r w:rsidRPr="009A7A00">
              <w:rPr>
                <w:rFonts w:eastAsia="Times New Roman" w:hAnsi="Times New Roman" w:cs="Times New Roman"/>
                <w:b/>
                <w:bCs/>
                <w:color w:val="000000"/>
                <w:sz w:val="22"/>
                <w:szCs w:val="22"/>
              </w:rPr>
              <w:t>Parametras</w:t>
            </w:r>
          </w:p>
        </w:tc>
        <w:tc>
          <w:tcPr>
            <w:tcW w:w="4050" w:type="dxa"/>
            <w:vAlign w:val="center"/>
          </w:tcPr>
          <w:p w14:paraId="3BCB46CE" w14:textId="77777777" w:rsidR="007E6424" w:rsidRPr="009A7A00" w:rsidRDefault="007E6424" w:rsidP="009A7A00">
            <w:pPr>
              <w:tabs>
                <w:tab w:val="left" w:pos="1134"/>
                <w:tab w:val="left" w:pos="1620"/>
              </w:tabs>
              <w:spacing w:line="240" w:lineRule="auto"/>
              <w:jc w:val="center"/>
              <w:rPr>
                <w:rFonts w:eastAsia="Times New Roman" w:hAnsi="Times New Roman" w:cs="Times New Roman"/>
                <w:sz w:val="22"/>
                <w:szCs w:val="22"/>
              </w:rPr>
            </w:pPr>
            <w:r w:rsidRPr="009A7A00">
              <w:rPr>
                <w:rFonts w:eastAsia="Times New Roman" w:hAnsi="Times New Roman" w:cs="Times New Roman"/>
                <w:b/>
                <w:bCs/>
                <w:color w:val="000000"/>
                <w:sz w:val="22"/>
                <w:szCs w:val="22"/>
              </w:rPr>
              <w:t>Kriterijaus funkcinio parametro lyginamasis svoris</w:t>
            </w:r>
          </w:p>
        </w:tc>
        <w:tc>
          <w:tcPr>
            <w:tcW w:w="1504" w:type="dxa"/>
            <w:gridSpan w:val="2"/>
            <w:vAlign w:val="center"/>
          </w:tcPr>
          <w:p w14:paraId="00682914" w14:textId="77777777" w:rsidR="007E6424" w:rsidRPr="009A7A00" w:rsidRDefault="007E6424" w:rsidP="009A7A00">
            <w:pPr>
              <w:tabs>
                <w:tab w:val="left" w:pos="1134"/>
                <w:tab w:val="left" w:pos="1620"/>
              </w:tabs>
              <w:spacing w:line="240" w:lineRule="auto"/>
              <w:jc w:val="center"/>
              <w:rPr>
                <w:rFonts w:eastAsia="Times New Roman" w:hAnsi="Times New Roman" w:cs="Times New Roman"/>
                <w:sz w:val="22"/>
                <w:szCs w:val="22"/>
              </w:rPr>
            </w:pPr>
            <w:r w:rsidRPr="009A7A00">
              <w:rPr>
                <w:rFonts w:eastAsia="Times New Roman" w:hAnsi="Times New Roman" w:cs="Times New Roman"/>
                <w:b/>
                <w:bCs/>
                <w:color w:val="000000"/>
                <w:sz w:val="22"/>
                <w:szCs w:val="22"/>
              </w:rPr>
              <w:t>Lyginamasis svoris ekonominio naudingumo įvertinime</w:t>
            </w:r>
          </w:p>
        </w:tc>
      </w:tr>
      <w:tr w:rsidR="007E6424" w:rsidRPr="009A7A00" w14:paraId="174E4FEB" w14:textId="77777777" w:rsidTr="001C1C4D">
        <w:trPr>
          <w:gridAfter w:val="1"/>
          <w:wAfter w:w="13" w:type="dxa"/>
          <w:jc w:val="center"/>
        </w:trPr>
        <w:tc>
          <w:tcPr>
            <w:tcW w:w="12505" w:type="dxa"/>
            <w:gridSpan w:val="3"/>
          </w:tcPr>
          <w:p w14:paraId="1108E036" w14:textId="77777777" w:rsidR="007E6424" w:rsidRPr="009A7A00" w:rsidRDefault="007E6424" w:rsidP="009A7A00">
            <w:pPr>
              <w:tabs>
                <w:tab w:val="left" w:pos="1134"/>
                <w:tab w:val="left" w:pos="1620"/>
              </w:tabs>
              <w:spacing w:line="240" w:lineRule="auto"/>
              <w:jc w:val="both"/>
              <w:rPr>
                <w:rFonts w:eastAsia="Times New Roman" w:hAnsi="Times New Roman" w:cs="Times New Roman"/>
                <w:sz w:val="22"/>
                <w:szCs w:val="22"/>
              </w:rPr>
            </w:pPr>
            <w:r w:rsidRPr="009A7A00">
              <w:rPr>
                <w:rFonts w:eastAsia="Times New Roman" w:hAnsi="Times New Roman" w:cs="Times New Roman"/>
                <w:b/>
                <w:bCs/>
                <w:color w:val="000000"/>
                <w:sz w:val="22"/>
                <w:szCs w:val="22"/>
              </w:rPr>
              <w:t>Kaina (C)</w:t>
            </w:r>
          </w:p>
        </w:tc>
        <w:tc>
          <w:tcPr>
            <w:tcW w:w="1491" w:type="dxa"/>
            <w:vAlign w:val="center"/>
          </w:tcPr>
          <w:p w14:paraId="1C8E39DB" w14:textId="1AD2037D" w:rsidR="007E6424" w:rsidRPr="009A7A00" w:rsidRDefault="007E6424" w:rsidP="009A7A00">
            <w:pPr>
              <w:tabs>
                <w:tab w:val="left" w:pos="1134"/>
                <w:tab w:val="left" w:pos="1620"/>
              </w:tabs>
              <w:spacing w:line="240" w:lineRule="auto"/>
              <w:jc w:val="center"/>
              <w:rPr>
                <w:rFonts w:eastAsia="Times New Roman" w:hAnsi="Times New Roman" w:cs="Times New Roman"/>
                <w:color w:val="000000" w:themeColor="text1"/>
                <w:sz w:val="22"/>
                <w:szCs w:val="22"/>
              </w:rPr>
            </w:pPr>
            <w:r w:rsidRPr="009A7A00">
              <w:rPr>
                <w:rFonts w:eastAsia="Times New Roman" w:hAnsi="Times New Roman" w:cs="Times New Roman"/>
                <w:color w:val="000000" w:themeColor="text1"/>
                <w:sz w:val="22"/>
                <w:szCs w:val="22"/>
              </w:rPr>
              <w:t>X=</w:t>
            </w:r>
            <w:r w:rsidR="003F0E86">
              <w:rPr>
                <w:rFonts w:eastAsia="Times New Roman" w:hAnsi="Times New Roman" w:cs="Times New Roman"/>
                <w:color w:val="000000" w:themeColor="text1"/>
                <w:sz w:val="22"/>
                <w:szCs w:val="22"/>
              </w:rPr>
              <w:t>6</w:t>
            </w:r>
            <w:r w:rsidRPr="009A7A00">
              <w:rPr>
                <w:rFonts w:eastAsia="Times New Roman" w:hAnsi="Times New Roman" w:cs="Times New Roman"/>
                <w:color w:val="000000" w:themeColor="text1"/>
                <w:sz w:val="22"/>
                <w:szCs w:val="22"/>
              </w:rPr>
              <w:t>0</w:t>
            </w:r>
          </w:p>
        </w:tc>
      </w:tr>
      <w:tr w:rsidR="00E11E80" w:rsidRPr="009A7A00" w14:paraId="46379967" w14:textId="77777777" w:rsidTr="001C1C4D">
        <w:trPr>
          <w:jc w:val="center"/>
        </w:trPr>
        <w:tc>
          <w:tcPr>
            <w:tcW w:w="4135" w:type="dxa"/>
            <w:vMerge w:val="restart"/>
            <w:tcBorders>
              <w:top w:val="single" w:sz="4" w:space="0" w:color="000000" w:themeColor="text1"/>
              <w:left w:val="single" w:sz="4" w:space="0" w:color="000000" w:themeColor="text1"/>
              <w:right w:val="single" w:sz="4" w:space="0" w:color="000000" w:themeColor="text1"/>
            </w:tcBorders>
          </w:tcPr>
          <w:p w14:paraId="48C798F0" w14:textId="26574ACE" w:rsidR="00E11E80" w:rsidRPr="009A7A00" w:rsidRDefault="004D14EC" w:rsidP="00CC5018">
            <w:pPr>
              <w:spacing w:line="240" w:lineRule="auto"/>
              <w:jc w:val="both"/>
              <w:rPr>
                <w:rFonts w:eastAsia="Times New Roman" w:hAnsi="Times New Roman" w:cs="Times New Roman"/>
                <w:sz w:val="22"/>
                <w:szCs w:val="22"/>
              </w:rPr>
            </w:pPr>
            <w:r>
              <w:rPr>
                <w:rFonts w:eastAsia="Times New Roman" w:hAnsi="Times New Roman" w:cs="Times New Roman"/>
                <w:b/>
                <w:bCs/>
                <w:color w:val="000000"/>
                <w:sz w:val="22"/>
                <w:szCs w:val="22"/>
              </w:rPr>
              <w:t>S</w:t>
            </w:r>
            <w:r w:rsidR="00E11E80" w:rsidRPr="009A7A00">
              <w:rPr>
                <w:rFonts w:eastAsia="Times New Roman" w:hAnsi="Times New Roman" w:cs="Times New Roman"/>
                <w:b/>
                <w:bCs/>
                <w:color w:val="000000"/>
                <w:sz w:val="22"/>
                <w:szCs w:val="22"/>
              </w:rPr>
              <w:t xml:space="preserve">pecialistų </w:t>
            </w:r>
            <w:r w:rsidR="00C52690">
              <w:rPr>
                <w:rFonts w:eastAsia="Times New Roman" w:hAnsi="Times New Roman" w:cs="Times New Roman"/>
                <w:b/>
                <w:bCs/>
                <w:color w:val="000000"/>
                <w:sz w:val="22"/>
                <w:szCs w:val="22"/>
              </w:rPr>
              <w:t xml:space="preserve">papildoma </w:t>
            </w:r>
            <w:r w:rsidR="00E11E80" w:rsidRPr="009A7A00">
              <w:rPr>
                <w:rFonts w:eastAsia="Times New Roman" w:hAnsi="Times New Roman" w:cs="Times New Roman"/>
                <w:b/>
                <w:bCs/>
                <w:color w:val="000000"/>
                <w:sz w:val="22"/>
                <w:szCs w:val="22"/>
              </w:rPr>
              <w:t>patirtis sutartyse (projektuose) (T)</w:t>
            </w:r>
          </w:p>
          <w:p w14:paraId="2C431DB5" w14:textId="77777777" w:rsidR="00E11E80" w:rsidRPr="00F35DDA" w:rsidRDefault="00E11E80" w:rsidP="00191ED4">
            <w:pPr>
              <w:spacing w:line="240" w:lineRule="auto"/>
              <w:jc w:val="both"/>
              <w:rPr>
                <w:rFonts w:eastAsia="Times New Roman" w:hAnsi="Times New Roman" w:cs="Times New Roman"/>
                <w:color w:val="000000"/>
                <w:sz w:val="22"/>
                <w:szCs w:val="22"/>
              </w:rPr>
            </w:pPr>
          </w:p>
          <w:p w14:paraId="54796CC0" w14:textId="5ACB0A73" w:rsidR="002E3CB3" w:rsidRPr="00E82F2B" w:rsidRDefault="00E11E80" w:rsidP="00DA0B66">
            <w:pPr>
              <w:spacing w:line="240" w:lineRule="auto"/>
              <w:jc w:val="both"/>
              <w:rPr>
                <w:rFonts w:eastAsia="Times New Roman" w:hAnsi="Times New Roman" w:cs="Times New Roman"/>
                <w:color w:val="000000"/>
                <w:sz w:val="22"/>
                <w:szCs w:val="22"/>
              </w:rPr>
            </w:pPr>
            <w:r w:rsidRPr="009A7A00">
              <w:rPr>
                <w:rFonts w:eastAsia="Times New Roman" w:hAnsi="Times New Roman" w:cs="Times New Roman"/>
                <w:color w:val="000000"/>
                <w:sz w:val="22"/>
                <w:szCs w:val="22"/>
              </w:rPr>
              <w:t xml:space="preserve">Vertinama tiekėjo </w:t>
            </w:r>
            <w:r w:rsidR="00DA0EA2">
              <w:rPr>
                <w:rFonts w:eastAsia="Times New Roman" w:hAnsi="Times New Roman" w:cs="Times New Roman"/>
                <w:color w:val="000000"/>
                <w:sz w:val="22"/>
                <w:szCs w:val="22"/>
              </w:rPr>
              <w:t>siūlomų specialistų</w:t>
            </w:r>
            <w:r w:rsidRPr="009A7A00">
              <w:rPr>
                <w:rFonts w:eastAsia="Times New Roman" w:hAnsi="Times New Roman" w:cs="Times New Roman"/>
                <w:color w:val="000000"/>
                <w:sz w:val="22"/>
                <w:szCs w:val="22"/>
              </w:rPr>
              <w:t xml:space="preserve"> pastarųjų 5 metų patirtis sutartyse (projektuose), </w:t>
            </w:r>
            <w:r w:rsidR="006B16AB">
              <w:rPr>
                <w:rFonts w:eastAsia="Times New Roman" w:hAnsi="Times New Roman" w:cs="Times New Roman"/>
                <w:color w:val="000000"/>
                <w:sz w:val="22"/>
                <w:szCs w:val="22"/>
              </w:rPr>
              <w:t>kurių</w:t>
            </w:r>
            <w:r w:rsidRPr="009A7A00">
              <w:rPr>
                <w:rFonts w:eastAsia="Times New Roman" w:hAnsi="Times New Roman" w:cs="Times New Roman"/>
                <w:color w:val="000000"/>
                <w:sz w:val="22"/>
                <w:szCs w:val="22"/>
              </w:rPr>
              <w:t xml:space="preserve"> apimtyje turėjo būti sukurta</w:t>
            </w:r>
            <w:r w:rsidR="00DA0B66">
              <w:rPr>
                <w:rFonts w:eastAsia="Times New Roman" w:hAnsi="Times New Roman" w:cs="Times New Roman"/>
                <w:color w:val="000000"/>
                <w:sz w:val="22"/>
                <w:szCs w:val="22"/>
              </w:rPr>
              <w:t xml:space="preserve"> ir įdiegta ir/arba</w:t>
            </w:r>
            <w:r w:rsidRPr="009A7A00">
              <w:rPr>
                <w:rFonts w:eastAsia="Times New Roman" w:hAnsi="Times New Roman" w:cs="Times New Roman"/>
                <w:color w:val="000000"/>
                <w:sz w:val="22"/>
                <w:szCs w:val="22"/>
              </w:rPr>
              <w:t xml:space="preserve"> modernizuota informacinė sistema ar registras, turinti ne mažiau kaip vieną integraciją su kita išorine informacine </w:t>
            </w:r>
            <w:r w:rsidRPr="00E82F2B">
              <w:rPr>
                <w:rFonts w:eastAsia="Times New Roman" w:hAnsi="Times New Roman" w:cs="Times New Roman"/>
                <w:color w:val="000000"/>
                <w:sz w:val="22"/>
                <w:szCs w:val="22"/>
              </w:rPr>
              <w:t xml:space="preserve">sistema ar registru (diegimas turi būti baigtas, informacinė sistema ar </w:t>
            </w:r>
            <w:r w:rsidRPr="00E82F2B">
              <w:rPr>
                <w:rFonts w:eastAsia="Times New Roman" w:hAnsi="Times New Roman" w:cs="Times New Roman"/>
                <w:color w:val="000000"/>
                <w:sz w:val="22"/>
                <w:szCs w:val="22"/>
              </w:rPr>
              <w:lastRenderedPageBreak/>
              <w:t>registras priduota bandomajai eksploatacijai)</w:t>
            </w:r>
            <w:r w:rsidR="006B16AB">
              <w:rPr>
                <w:rFonts w:eastAsia="Times New Roman" w:hAnsi="Times New Roman" w:cs="Times New Roman"/>
                <w:color w:val="000000"/>
                <w:sz w:val="22"/>
                <w:szCs w:val="22"/>
              </w:rPr>
              <w:t>.</w:t>
            </w:r>
          </w:p>
          <w:p w14:paraId="2D78B042" w14:textId="0D086ADE" w:rsidR="00E11E80" w:rsidRPr="009A7A00" w:rsidRDefault="00E11E80" w:rsidP="00E82F2B">
            <w:pPr>
              <w:spacing w:line="240" w:lineRule="auto"/>
              <w:contextualSpacing/>
              <w:rPr>
                <w:rFonts w:eastAsia="Times New Roman" w:hAnsi="Times New Roman" w:cs="Times New Roman"/>
                <w:color w:val="000000"/>
                <w:sz w:val="22"/>
                <w:szCs w:val="22"/>
              </w:rPr>
            </w:pPr>
          </w:p>
          <w:p w14:paraId="6CB6C48F" w14:textId="3BD59BA7" w:rsidR="00E11E80" w:rsidRPr="009A7A00" w:rsidRDefault="00E11E80" w:rsidP="00FF0574">
            <w:pPr>
              <w:spacing w:line="240" w:lineRule="auto"/>
              <w:jc w:val="both"/>
              <w:rPr>
                <w:rFonts w:eastAsia="Times New Roman" w:hAnsi="Times New Roman" w:cs="Times New Roman"/>
                <w:sz w:val="22"/>
                <w:szCs w:val="22"/>
              </w:rPr>
            </w:pPr>
            <w:r w:rsidRPr="009A7A00">
              <w:rPr>
                <w:rFonts w:eastAsia="Times New Roman" w:hAnsi="Times New Roman" w:cs="Times New Roman"/>
                <w:color w:val="000000"/>
                <w:sz w:val="22"/>
                <w:szCs w:val="22"/>
              </w:rPr>
              <w:t xml:space="preserve">Vertinama tik </w:t>
            </w:r>
            <w:r w:rsidRPr="009A7A00">
              <w:rPr>
                <w:rFonts w:eastAsia="Times New Roman" w:hAnsi="Times New Roman" w:cs="Times New Roman"/>
                <w:b/>
                <w:bCs/>
                <w:color w:val="000000"/>
                <w:sz w:val="22"/>
                <w:szCs w:val="22"/>
              </w:rPr>
              <w:t>specialistų patirtis</w:t>
            </w:r>
            <w:r w:rsidR="00824AE2" w:rsidRPr="009653CE">
              <w:rPr>
                <w:rFonts w:hAnsi="Times New Roman" w:cs="Times New Roman"/>
                <w:b/>
                <w:sz w:val="22"/>
                <w:szCs w:val="22"/>
              </w:rPr>
              <w:t xml:space="preserve"> </w:t>
            </w:r>
            <w:r w:rsidR="00B73D36">
              <w:rPr>
                <w:rFonts w:hAnsi="Times New Roman" w:cs="Times New Roman"/>
                <w:b/>
                <w:sz w:val="22"/>
                <w:szCs w:val="22"/>
              </w:rPr>
              <w:t>per</w:t>
            </w:r>
            <w:r w:rsidR="00824AE2" w:rsidRPr="009653CE">
              <w:rPr>
                <w:rFonts w:hAnsi="Times New Roman" w:cs="Times New Roman"/>
                <w:b/>
                <w:sz w:val="22"/>
                <w:szCs w:val="22"/>
              </w:rPr>
              <w:t xml:space="preserve"> paskutinius 5 (penkerius) metus iki pasiūlymų pateikimo termino pabaigos</w:t>
            </w:r>
            <w:r w:rsidRPr="009A7A00">
              <w:rPr>
                <w:rFonts w:eastAsia="Times New Roman" w:hAnsi="Times New Roman" w:cs="Times New Roman"/>
                <w:b/>
                <w:bCs/>
                <w:color w:val="000000"/>
                <w:sz w:val="22"/>
                <w:szCs w:val="22"/>
              </w:rPr>
              <w:t xml:space="preserve"> kriterijaus reikalavimus atitinkančiose sutartyse</w:t>
            </w:r>
            <w:r w:rsidRPr="009A7A00">
              <w:rPr>
                <w:rFonts w:eastAsia="Times New Roman" w:hAnsi="Times New Roman" w:cs="Times New Roman"/>
                <w:color w:val="000000"/>
                <w:sz w:val="22"/>
                <w:szCs w:val="22"/>
              </w:rPr>
              <w:t xml:space="preserve"> </w:t>
            </w:r>
            <w:r w:rsidRPr="009A7A00">
              <w:rPr>
                <w:rFonts w:eastAsia="Times New Roman" w:hAnsi="Times New Roman" w:cs="Times New Roman"/>
                <w:b/>
                <w:bCs/>
                <w:color w:val="000000"/>
                <w:sz w:val="22"/>
                <w:szCs w:val="22"/>
              </w:rPr>
              <w:t xml:space="preserve">(projektuose), kuriomis tiekėjas nesiremia grįsdamas atitiktį būtiniems kvalifikacijos </w:t>
            </w:r>
            <w:r w:rsidRPr="009653CE">
              <w:rPr>
                <w:rFonts w:eastAsia="Times New Roman" w:hAnsi="Times New Roman" w:cs="Times New Roman"/>
                <w:b/>
                <w:bCs/>
                <w:color w:val="000000"/>
                <w:sz w:val="22"/>
                <w:szCs w:val="22"/>
              </w:rPr>
              <w:t>reikalavimams.</w:t>
            </w:r>
            <w:r w:rsidRPr="009A7A00">
              <w:rPr>
                <w:rFonts w:eastAsia="Times New Roman" w:hAnsi="Times New Roman" w:cs="Times New Roman"/>
                <w:color w:val="000000"/>
                <w:sz w:val="22"/>
                <w:szCs w:val="22"/>
              </w:rPr>
              <w:t xml:space="preserve"> Vertinami specialistai turi būti tie patys, kurie nurodomi grindžiant tiekėjo atitiktį būtiniems tiekėjų kvalifikacijos reikalavimams (specialiųjų pirkimo sąlygų </w:t>
            </w:r>
            <w:r>
              <w:rPr>
                <w:rFonts w:eastAsia="Times New Roman" w:hAnsi="Times New Roman" w:cs="Times New Roman"/>
                <w:color w:val="000000"/>
                <w:sz w:val="22"/>
                <w:szCs w:val="22"/>
              </w:rPr>
              <w:t>5</w:t>
            </w:r>
            <w:r w:rsidRPr="009A7A00">
              <w:rPr>
                <w:rFonts w:eastAsia="Times New Roman" w:hAnsi="Times New Roman" w:cs="Times New Roman"/>
                <w:color w:val="000000"/>
                <w:sz w:val="22"/>
                <w:szCs w:val="22"/>
              </w:rPr>
              <w:t xml:space="preserve"> priedo 2 lentelė).</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F82C2" w14:textId="77777777" w:rsidR="00E11E80" w:rsidRPr="009A7A00" w:rsidRDefault="00E11E80" w:rsidP="00191ED4">
            <w:pPr>
              <w:tabs>
                <w:tab w:val="left" w:pos="1134"/>
                <w:tab w:val="left" w:pos="1620"/>
              </w:tabs>
              <w:spacing w:line="240" w:lineRule="auto"/>
              <w:jc w:val="both"/>
              <w:rPr>
                <w:rFonts w:eastAsia="Times New Roman" w:hAnsi="Times New Roman" w:cs="Times New Roman"/>
                <w:sz w:val="22"/>
                <w:szCs w:val="22"/>
              </w:rPr>
            </w:pP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681A08" w14:textId="01A361AD" w:rsidR="00E11E80" w:rsidRPr="009A7A00" w:rsidRDefault="00E11E80" w:rsidP="00191ED4">
            <w:pPr>
              <w:tabs>
                <w:tab w:val="left" w:pos="1134"/>
                <w:tab w:val="left" w:pos="1620"/>
              </w:tabs>
              <w:spacing w:line="240" w:lineRule="auto"/>
              <w:jc w:val="both"/>
              <w:rPr>
                <w:rFonts w:eastAsia="Times New Roman" w:hAnsi="Times New Roman" w:cs="Times New Roman"/>
                <w:sz w:val="22"/>
                <w:szCs w:val="22"/>
              </w:rPr>
            </w:pPr>
            <w:r w:rsidRPr="009A7A00">
              <w:rPr>
                <w:rFonts w:eastAsia="Times New Roman" w:hAnsi="Times New Roman" w:cs="Times New Roman"/>
                <w:sz w:val="22"/>
                <w:szCs w:val="22"/>
              </w:rPr>
              <w:t xml:space="preserve">Maksimalus balas – </w:t>
            </w:r>
            <w:r w:rsidR="00C91B39">
              <w:rPr>
                <w:rFonts w:eastAsia="Times New Roman" w:hAnsi="Times New Roman" w:cs="Times New Roman"/>
                <w:sz w:val="22"/>
                <w:szCs w:val="22"/>
              </w:rPr>
              <w:t>4</w:t>
            </w:r>
            <w:r w:rsidRPr="009A7A00">
              <w:rPr>
                <w:rFonts w:eastAsia="Times New Roman" w:hAnsi="Times New Roman" w:cs="Times New Roman"/>
                <w:sz w:val="22"/>
                <w:szCs w:val="22"/>
              </w:rPr>
              <w:t>0</w:t>
            </w:r>
          </w:p>
        </w:tc>
        <w:tc>
          <w:tcPr>
            <w:tcW w:w="15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B584E" w14:textId="05DC8BF5" w:rsidR="00E11E80" w:rsidRPr="009A7A00" w:rsidRDefault="00E11E80" w:rsidP="00191ED4">
            <w:pPr>
              <w:tabs>
                <w:tab w:val="left" w:pos="1134"/>
                <w:tab w:val="left" w:pos="1620"/>
              </w:tabs>
              <w:spacing w:line="240" w:lineRule="auto"/>
              <w:jc w:val="center"/>
              <w:rPr>
                <w:rFonts w:eastAsia="Times New Roman" w:hAnsi="Times New Roman" w:cs="Times New Roman"/>
                <w:color w:val="000000" w:themeColor="text1"/>
                <w:sz w:val="22"/>
                <w:szCs w:val="22"/>
              </w:rPr>
            </w:pPr>
            <w:r w:rsidRPr="009A7A00">
              <w:rPr>
                <w:rFonts w:eastAsia="Times New Roman" w:hAnsi="Times New Roman" w:cs="Times New Roman"/>
                <w:color w:val="000000" w:themeColor="text1"/>
                <w:sz w:val="22"/>
                <w:szCs w:val="22"/>
              </w:rPr>
              <w:t>Y=</w:t>
            </w:r>
            <w:r w:rsidR="003F0E86">
              <w:rPr>
                <w:rFonts w:eastAsia="Times New Roman" w:hAnsi="Times New Roman" w:cs="Times New Roman"/>
                <w:color w:val="000000" w:themeColor="text1"/>
                <w:sz w:val="22"/>
                <w:szCs w:val="22"/>
              </w:rPr>
              <w:t>4</w:t>
            </w:r>
            <w:r w:rsidRPr="009A7A00">
              <w:rPr>
                <w:rFonts w:eastAsia="Times New Roman" w:hAnsi="Times New Roman" w:cs="Times New Roman"/>
                <w:color w:val="000000" w:themeColor="text1"/>
                <w:sz w:val="22"/>
                <w:szCs w:val="22"/>
              </w:rPr>
              <w:t>0</w:t>
            </w:r>
          </w:p>
        </w:tc>
      </w:tr>
      <w:tr w:rsidR="008C04F8" w:rsidRPr="009A7A00" w14:paraId="739D6457" w14:textId="77777777" w:rsidTr="001C1C4D">
        <w:trPr>
          <w:jc w:val="center"/>
        </w:trPr>
        <w:tc>
          <w:tcPr>
            <w:tcW w:w="4135" w:type="dxa"/>
            <w:vMerge/>
            <w:tcBorders>
              <w:left w:val="single" w:sz="4" w:space="0" w:color="000000" w:themeColor="text1"/>
              <w:right w:val="single" w:sz="4" w:space="0" w:color="000000" w:themeColor="text1"/>
            </w:tcBorders>
          </w:tcPr>
          <w:p w14:paraId="5E04E200" w14:textId="77777777"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F152E" w14:textId="05BC1E20" w:rsidR="008C04F8" w:rsidRPr="009A7A00" w:rsidRDefault="008C04F8" w:rsidP="00191ED4">
            <w:pPr>
              <w:spacing w:line="240" w:lineRule="auto"/>
              <w:rPr>
                <w:rFonts w:eastAsia="Times New Roman" w:hAnsi="Times New Roman" w:cs="Times New Roman"/>
                <w:sz w:val="22"/>
                <w:szCs w:val="22"/>
              </w:rPr>
            </w:pPr>
            <w:r w:rsidRPr="009A7A00">
              <w:rPr>
                <w:rFonts w:eastAsia="Times New Roman" w:hAnsi="Times New Roman" w:cs="Times New Roman"/>
                <w:b/>
                <w:bCs/>
                <w:color w:val="000000"/>
                <w:sz w:val="22"/>
                <w:szCs w:val="22"/>
              </w:rPr>
              <w:t>Projekto vadov</w:t>
            </w:r>
            <w:r w:rsidR="004D14EC">
              <w:rPr>
                <w:rFonts w:eastAsia="Times New Roman" w:hAnsi="Times New Roman" w:cs="Times New Roman"/>
                <w:b/>
                <w:bCs/>
                <w:color w:val="000000"/>
                <w:sz w:val="22"/>
                <w:szCs w:val="22"/>
              </w:rPr>
              <w:t>o</w:t>
            </w:r>
            <w:r w:rsidR="00C52690">
              <w:rPr>
                <w:rFonts w:eastAsia="Times New Roman" w:hAnsi="Times New Roman" w:cs="Times New Roman"/>
                <w:b/>
                <w:bCs/>
                <w:color w:val="000000"/>
                <w:sz w:val="22"/>
                <w:szCs w:val="22"/>
              </w:rPr>
              <w:t xml:space="preserve"> papildoma </w:t>
            </w:r>
            <w:r w:rsidR="00C52690" w:rsidRPr="009A7A00">
              <w:rPr>
                <w:rFonts w:eastAsia="Times New Roman" w:hAnsi="Times New Roman" w:cs="Times New Roman"/>
                <w:b/>
                <w:bCs/>
                <w:color w:val="000000"/>
                <w:sz w:val="22"/>
                <w:szCs w:val="22"/>
              </w:rPr>
              <w:t>patirtis</w:t>
            </w:r>
          </w:p>
          <w:p w14:paraId="66BC773A" w14:textId="4E0DAE22"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r w:rsidRPr="009A7A00">
              <w:rPr>
                <w:rFonts w:eastAsia="Times New Roman" w:hAnsi="Times New Roman" w:cs="Times New Roman"/>
                <w:color w:val="000000"/>
                <w:sz w:val="22"/>
                <w:szCs w:val="22"/>
              </w:rPr>
              <w:t xml:space="preserve">Už kiekvieną </w:t>
            </w:r>
            <w:r w:rsidR="008B2DCE">
              <w:rPr>
                <w:rFonts w:eastAsia="Times New Roman" w:hAnsi="Times New Roman" w:cs="Times New Roman"/>
                <w:color w:val="000000"/>
                <w:sz w:val="22"/>
                <w:szCs w:val="22"/>
              </w:rPr>
              <w:t xml:space="preserve">papildomą </w:t>
            </w:r>
            <w:r w:rsidRPr="009A7A00">
              <w:rPr>
                <w:rFonts w:eastAsia="Times New Roman" w:hAnsi="Times New Roman" w:cs="Times New Roman"/>
                <w:color w:val="000000"/>
                <w:sz w:val="22"/>
                <w:szCs w:val="22"/>
              </w:rPr>
              <w:t>sutartį (p</w:t>
            </w:r>
            <w:r w:rsidRPr="009A7A00">
              <w:rPr>
                <w:rFonts w:hAnsi="Times New Roman" w:cs="Times New Roman"/>
                <w:color w:val="000000"/>
                <w:sz w:val="22"/>
                <w:szCs w:val="22"/>
              </w:rPr>
              <w:t>rojektą)</w:t>
            </w:r>
            <w:r w:rsidRPr="009A7A00">
              <w:rPr>
                <w:rFonts w:eastAsia="Times New Roman" w:hAnsi="Times New Roman" w:cs="Times New Roman"/>
                <w:color w:val="000000"/>
                <w:sz w:val="22"/>
                <w:szCs w:val="22"/>
              </w:rPr>
              <w:t xml:space="preserve">, atitinkančią </w:t>
            </w:r>
            <w:r w:rsidRPr="009A7A00">
              <w:rPr>
                <w:rFonts w:eastAsia="Times New Roman" w:hAnsi="Times New Roman" w:cs="Times New Roman"/>
                <w:b/>
                <w:bCs/>
                <w:color w:val="000000"/>
                <w:sz w:val="22"/>
                <w:szCs w:val="22"/>
              </w:rPr>
              <w:t>T</w:t>
            </w:r>
            <w:r w:rsidR="00C91B39" w:rsidRPr="00F665F8">
              <w:rPr>
                <w:rFonts w:eastAsia="Times New Roman" w:hAnsi="Times New Roman" w:cs="Times New Roman"/>
                <w:b/>
                <w:bCs/>
                <w:color w:val="000000"/>
                <w:sz w:val="22"/>
                <w:szCs w:val="22"/>
                <w:vertAlign w:val="subscript"/>
              </w:rPr>
              <w:t>1</w:t>
            </w:r>
            <w:r w:rsidRPr="009A7A00">
              <w:rPr>
                <w:rFonts w:eastAsia="Times New Roman" w:hAnsi="Times New Roman" w:cs="Times New Roman"/>
                <w:color w:val="000000"/>
                <w:sz w:val="22"/>
                <w:szCs w:val="22"/>
              </w:rPr>
              <w:t xml:space="preserve"> kriterijaus sąlygas,</w:t>
            </w:r>
            <w:r w:rsidRPr="00B61994">
              <w:rPr>
                <w:rFonts w:eastAsia="Times New Roman" w:hAnsi="Times New Roman" w:cs="Times New Roman"/>
                <w:color w:val="000000"/>
                <w:sz w:val="22"/>
                <w:szCs w:val="22"/>
              </w:rPr>
              <w:t xml:space="preserve"> </w:t>
            </w:r>
            <w:r w:rsidRPr="009A7A00">
              <w:rPr>
                <w:rFonts w:eastAsia="Times New Roman" w:hAnsi="Times New Roman" w:cs="Times New Roman"/>
                <w:color w:val="000000"/>
                <w:sz w:val="22"/>
                <w:szCs w:val="22"/>
              </w:rPr>
              <w:t xml:space="preserve">skiriama po </w:t>
            </w:r>
            <w:r w:rsidR="00C91B39">
              <w:rPr>
                <w:rFonts w:eastAsia="Times New Roman" w:hAnsi="Times New Roman" w:cs="Times New Roman"/>
                <w:color w:val="000000"/>
                <w:sz w:val="22"/>
                <w:szCs w:val="22"/>
              </w:rPr>
              <w:t>2</w:t>
            </w:r>
            <w:r w:rsidRPr="009A7A00">
              <w:rPr>
                <w:rFonts w:eastAsia="Times New Roman" w:hAnsi="Times New Roman" w:cs="Times New Roman"/>
                <w:color w:val="000000"/>
                <w:sz w:val="22"/>
                <w:szCs w:val="22"/>
              </w:rPr>
              <w:t xml:space="preserve"> (</w:t>
            </w:r>
            <w:r w:rsidR="00C91B39">
              <w:rPr>
                <w:rFonts w:eastAsia="Times New Roman" w:hAnsi="Times New Roman" w:cs="Times New Roman"/>
                <w:color w:val="000000"/>
                <w:sz w:val="22"/>
                <w:szCs w:val="22"/>
              </w:rPr>
              <w:t>du</w:t>
            </w:r>
            <w:r w:rsidRPr="009A7A00">
              <w:rPr>
                <w:rFonts w:eastAsia="Times New Roman" w:hAnsi="Times New Roman" w:cs="Times New Roman"/>
                <w:color w:val="000000"/>
                <w:sz w:val="22"/>
                <w:szCs w:val="22"/>
              </w:rPr>
              <w:t>) bal</w:t>
            </w:r>
            <w:r w:rsidR="00C91B39">
              <w:rPr>
                <w:rFonts w:eastAsia="Times New Roman" w:hAnsi="Times New Roman" w:cs="Times New Roman"/>
                <w:color w:val="000000"/>
                <w:sz w:val="22"/>
                <w:szCs w:val="22"/>
              </w:rPr>
              <w:t>us</w:t>
            </w:r>
            <w:r w:rsidRPr="009A7A00">
              <w:rPr>
                <w:rFonts w:eastAsia="Times New Roman" w:hAnsi="Times New Roman" w:cs="Times New Roman"/>
                <w:color w:val="000000"/>
                <w:sz w:val="22"/>
                <w:szCs w:val="22"/>
              </w:rPr>
              <w:t xml:space="preserve">. Skaičiuojamos tik papildomos sutartys (projektai), kuriais nebuvo remtasi grindžiant atitiktį būtiniems tiekėjų kvalifikacijos reikalavimams ir kuriose patirtis įgyta pagal savo pareigas / funkcijas, </w:t>
            </w:r>
            <w:proofErr w:type="spellStart"/>
            <w:r w:rsidRPr="009A7A00">
              <w:rPr>
                <w:rFonts w:eastAsia="Times New Roman" w:hAnsi="Times New Roman" w:cs="Times New Roman"/>
                <w:color w:val="000000"/>
                <w:sz w:val="22"/>
                <w:szCs w:val="22"/>
              </w:rPr>
              <w:t>t.y</w:t>
            </w:r>
            <w:proofErr w:type="spellEnd"/>
            <w:r w:rsidRPr="009A7A00">
              <w:rPr>
                <w:rFonts w:eastAsia="Times New Roman" w:hAnsi="Times New Roman" w:cs="Times New Roman"/>
                <w:color w:val="000000"/>
                <w:sz w:val="22"/>
                <w:szCs w:val="22"/>
              </w:rPr>
              <w:t xml:space="preserve">. projekto vadovo papildomos patirties atitikimas </w:t>
            </w:r>
            <w:r w:rsidRPr="009A7A00">
              <w:rPr>
                <w:rFonts w:eastAsia="Times New Roman" w:hAnsi="Times New Roman" w:cs="Times New Roman"/>
                <w:b/>
                <w:bCs/>
                <w:color w:val="000000"/>
                <w:sz w:val="22"/>
                <w:szCs w:val="22"/>
              </w:rPr>
              <w:t>T</w:t>
            </w:r>
            <w:r w:rsidR="00C91B39" w:rsidRPr="00F665F8">
              <w:rPr>
                <w:rFonts w:eastAsia="Times New Roman" w:hAnsi="Times New Roman" w:cs="Times New Roman"/>
                <w:b/>
                <w:bCs/>
                <w:color w:val="000000"/>
                <w:sz w:val="22"/>
                <w:szCs w:val="22"/>
                <w:vertAlign w:val="subscript"/>
              </w:rPr>
              <w:t>1</w:t>
            </w:r>
            <w:r w:rsidRPr="009A7A00">
              <w:rPr>
                <w:rFonts w:eastAsia="Times New Roman" w:hAnsi="Times New Roman" w:cs="Times New Roman"/>
                <w:color w:val="000000"/>
                <w:sz w:val="22"/>
                <w:szCs w:val="22"/>
              </w:rPr>
              <w:t xml:space="preserve"> kriterijaus sąlygas atitinkančiose </w:t>
            </w:r>
            <w:r w:rsidRPr="009A7A00">
              <w:rPr>
                <w:rFonts w:eastAsia="Times New Roman" w:hAnsi="Times New Roman" w:cs="Times New Roman"/>
                <w:color w:val="000000"/>
                <w:sz w:val="22"/>
                <w:szCs w:val="22"/>
              </w:rPr>
              <w:lastRenderedPageBreak/>
              <w:t>sutartyse (projektuose) vertinama pagal juose vykdytas projekto vadovo pareigas / funkcijas.</w:t>
            </w:r>
          </w:p>
        </w:tc>
        <w:tc>
          <w:tcPr>
            <w:tcW w:w="4050" w:type="dxa"/>
            <w:vMerge w:val="restart"/>
            <w:tcBorders>
              <w:top w:val="single" w:sz="4" w:space="0" w:color="000000" w:themeColor="text1"/>
              <w:left w:val="single" w:sz="4" w:space="0" w:color="000000" w:themeColor="text1"/>
              <w:right w:val="single" w:sz="4" w:space="0" w:color="000000" w:themeColor="text1"/>
            </w:tcBorders>
            <w:vAlign w:val="center"/>
          </w:tcPr>
          <w:p w14:paraId="73AEF698" w14:textId="5FF088AF" w:rsidR="00B46966" w:rsidRPr="00521F73" w:rsidRDefault="00B46966" w:rsidP="00B46966">
            <w:pPr>
              <w:tabs>
                <w:tab w:val="left" w:pos="1134"/>
                <w:tab w:val="left" w:pos="1620"/>
              </w:tabs>
              <w:spacing w:line="240" w:lineRule="auto"/>
              <w:jc w:val="both"/>
              <w:rPr>
                <w:rFonts w:eastAsia="Times New Roman" w:hAnsi="Times New Roman" w:cs="Times New Roman"/>
                <w:color w:val="000000"/>
                <w:sz w:val="22"/>
                <w:szCs w:val="22"/>
              </w:rPr>
            </w:pPr>
            <w:r w:rsidRPr="00521F73">
              <w:rPr>
                <w:rFonts w:eastAsia="Times New Roman" w:hAnsi="Times New Roman" w:cs="Times New Roman"/>
                <w:b/>
                <w:bCs/>
                <w:color w:val="000000"/>
                <w:sz w:val="22"/>
                <w:szCs w:val="22"/>
              </w:rPr>
              <w:lastRenderedPageBreak/>
              <w:t>0</w:t>
            </w:r>
            <w:r>
              <w:rPr>
                <w:rFonts w:eastAsia="Times New Roman" w:hAnsi="Times New Roman" w:cs="Times New Roman"/>
                <w:b/>
                <w:bCs/>
                <w:color w:val="000000"/>
                <w:sz w:val="22"/>
                <w:szCs w:val="22"/>
              </w:rPr>
              <w:t xml:space="preserve"> (nulis)</w:t>
            </w:r>
            <w:r w:rsidRPr="00521F73">
              <w:rPr>
                <w:rFonts w:eastAsia="Times New Roman" w:hAnsi="Times New Roman" w:cs="Times New Roman"/>
                <w:b/>
                <w:bCs/>
                <w:color w:val="000000"/>
                <w:sz w:val="22"/>
                <w:szCs w:val="22"/>
              </w:rPr>
              <w:t xml:space="preserve"> balų, balai neskiriami</w:t>
            </w:r>
            <w:r w:rsidRPr="00521F73">
              <w:rPr>
                <w:rFonts w:eastAsia="Times New Roman" w:hAnsi="Times New Roman" w:cs="Times New Roman"/>
                <w:color w:val="000000"/>
                <w:sz w:val="22"/>
                <w:szCs w:val="22"/>
              </w:rPr>
              <w:t>, jei Tiekėj</w:t>
            </w:r>
            <w:r w:rsidR="007B4AD3">
              <w:rPr>
                <w:rFonts w:eastAsia="Times New Roman" w:hAnsi="Times New Roman" w:cs="Times New Roman"/>
                <w:color w:val="000000"/>
                <w:sz w:val="22"/>
                <w:szCs w:val="22"/>
              </w:rPr>
              <w:t xml:space="preserve">o siūlomas specialistas </w:t>
            </w:r>
            <w:r w:rsidRPr="00521F73">
              <w:rPr>
                <w:rFonts w:eastAsia="Times New Roman" w:hAnsi="Times New Roman" w:cs="Times New Roman"/>
                <w:color w:val="000000"/>
                <w:sz w:val="22"/>
                <w:szCs w:val="22"/>
              </w:rPr>
              <w:t xml:space="preserve">neturi papildomos reikalaujamos patirties arba informacija apie </w:t>
            </w:r>
            <w:r w:rsidR="00812E78">
              <w:rPr>
                <w:rFonts w:eastAsia="Times New Roman" w:hAnsi="Times New Roman" w:cs="Times New Roman"/>
                <w:color w:val="000000"/>
                <w:sz w:val="22"/>
                <w:szCs w:val="22"/>
              </w:rPr>
              <w:t>Tiekėjo</w:t>
            </w:r>
            <w:r w:rsidR="007B4AD3">
              <w:rPr>
                <w:rFonts w:eastAsia="Times New Roman" w:hAnsi="Times New Roman" w:cs="Times New Roman"/>
                <w:color w:val="000000"/>
                <w:sz w:val="22"/>
                <w:szCs w:val="22"/>
              </w:rPr>
              <w:t xml:space="preserve"> siūlomo specialisto </w:t>
            </w:r>
            <w:r w:rsidRPr="00521F73">
              <w:rPr>
                <w:rFonts w:eastAsia="Times New Roman" w:hAnsi="Times New Roman" w:cs="Times New Roman"/>
                <w:color w:val="000000"/>
                <w:sz w:val="22"/>
                <w:szCs w:val="22"/>
              </w:rPr>
              <w:t>papildomą patirtį visiškai nepateikta, arba jeigu yra nurodyta sutartis, kuria siekiama pagrįsti atitiktį kvalifikacijos reikalavimui</w:t>
            </w:r>
            <w:r>
              <w:rPr>
                <w:rFonts w:eastAsia="Times New Roman" w:hAnsi="Times New Roman" w:cs="Times New Roman"/>
                <w:color w:val="000000"/>
                <w:sz w:val="22"/>
                <w:szCs w:val="22"/>
              </w:rPr>
              <w:t>.</w:t>
            </w:r>
          </w:p>
          <w:p w14:paraId="6736CD1A" w14:textId="07C7AB62" w:rsidR="008C04F8" w:rsidRPr="009A7A00" w:rsidRDefault="008C04F8" w:rsidP="00191ED4">
            <w:pPr>
              <w:tabs>
                <w:tab w:val="left" w:pos="1134"/>
                <w:tab w:val="left" w:pos="1620"/>
              </w:tabs>
              <w:spacing w:line="240" w:lineRule="auto"/>
              <w:jc w:val="both"/>
              <w:rPr>
                <w:rFonts w:eastAsia="Times New Roman" w:hAnsi="Times New Roman" w:cs="Times New Roman"/>
                <w:b/>
                <w:bCs/>
                <w:color w:val="000000"/>
                <w:sz w:val="22"/>
                <w:szCs w:val="22"/>
              </w:rPr>
            </w:pPr>
            <w:r w:rsidRPr="009A7A00">
              <w:rPr>
                <w:rFonts w:eastAsia="Times New Roman" w:hAnsi="Times New Roman" w:cs="Times New Roman"/>
                <w:b/>
                <w:bCs/>
                <w:color w:val="000000"/>
                <w:sz w:val="22"/>
                <w:szCs w:val="22"/>
              </w:rPr>
              <w:t>Už 1</w:t>
            </w:r>
            <w:r w:rsidR="006924AA">
              <w:rPr>
                <w:rFonts w:eastAsia="Times New Roman" w:hAnsi="Times New Roman" w:cs="Times New Roman"/>
                <w:b/>
                <w:bCs/>
                <w:color w:val="000000"/>
                <w:sz w:val="22"/>
                <w:szCs w:val="22"/>
              </w:rPr>
              <w:t xml:space="preserve"> (vieną)</w:t>
            </w:r>
            <w:r w:rsidRPr="009A7A00">
              <w:rPr>
                <w:rFonts w:eastAsia="Times New Roman" w:hAnsi="Times New Roman" w:cs="Times New Roman"/>
                <w:b/>
                <w:bCs/>
                <w:color w:val="000000"/>
                <w:sz w:val="22"/>
                <w:szCs w:val="22"/>
              </w:rPr>
              <w:t xml:space="preserve"> </w:t>
            </w:r>
            <w:r w:rsidR="00B84BD7">
              <w:rPr>
                <w:rFonts w:eastAsia="Times New Roman" w:hAnsi="Times New Roman" w:cs="Times New Roman"/>
                <w:b/>
                <w:bCs/>
                <w:color w:val="000000"/>
                <w:sz w:val="22"/>
                <w:szCs w:val="22"/>
              </w:rPr>
              <w:t xml:space="preserve">papildomą </w:t>
            </w:r>
            <w:r w:rsidRPr="009A7A00">
              <w:rPr>
                <w:rFonts w:eastAsia="Times New Roman" w:hAnsi="Times New Roman" w:cs="Times New Roman"/>
                <w:b/>
                <w:bCs/>
                <w:color w:val="000000"/>
                <w:sz w:val="22"/>
                <w:szCs w:val="22"/>
              </w:rPr>
              <w:t xml:space="preserve">sutartį (projektą) skiriamas </w:t>
            </w:r>
            <w:r w:rsidR="00C91B39">
              <w:rPr>
                <w:rFonts w:eastAsia="Times New Roman" w:hAnsi="Times New Roman" w:cs="Times New Roman"/>
                <w:b/>
                <w:bCs/>
                <w:color w:val="000000"/>
                <w:sz w:val="22"/>
                <w:szCs w:val="22"/>
              </w:rPr>
              <w:t>2</w:t>
            </w:r>
            <w:r w:rsidRPr="009A7A00">
              <w:rPr>
                <w:rFonts w:eastAsia="Times New Roman" w:hAnsi="Times New Roman" w:cs="Times New Roman"/>
                <w:b/>
                <w:bCs/>
                <w:color w:val="000000"/>
                <w:sz w:val="22"/>
                <w:szCs w:val="22"/>
              </w:rPr>
              <w:t xml:space="preserve"> </w:t>
            </w:r>
            <w:r w:rsidR="006924AA">
              <w:rPr>
                <w:rFonts w:eastAsia="Times New Roman" w:hAnsi="Times New Roman" w:cs="Times New Roman"/>
                <w:b/>
                <w:bCs/>
                <w:color w:val="000000"/>
                <w:sz w:val="22"/>
                <w:szCs w:val="22"/>
              </w:rPr>
              <w:t>(</w:t>
            </w:r>
            <w:r w:rsidR="00C91B39">
              <w:rPr>
                <w:rFonts w:eastAsia="Times New Roman" w:hAnsi="Times New Roman" w:cs="Times New Roman"/>
                <w:b/>
                <w:bCs/>
                <w:color w:val="000000"/>
                <w:sz w:val="22"/>
                <w:szCs w:val="22"/>
              </w:rPr>
              <w:t>du</w:t>
            </w:r>
            <w:r w:rsidR="006924AA">
              <w:rPr>
                <w:rFonts w:eastAsia="Times New Roman" w:hAnsi="Times New Roman" w:cs="Times New Roman"/>
                <w:b/>
                <w:bCs/>
                <w:color w:val="000000"/>
                <w:sz w:val="22"/>
                <w:szCs w:val="22"/>
              </w:rPr>
              <w:t xml:space="preserve">) </w:t>
            </w:r>
            <w:r w:rsidRPr="009A7A00">
              <w:rPr>
                <w:rFonts w:eastAsia="Times New Roman" w:hAnsi="Times New Roman" w:cs="Times New Roman"/>
                <w:b/>
                <w:bCs/>
                <w:color w:val="000000"/>
                <w:sz w:val="22"/>
                <w:szCs w:val="22"/>
              </w:rPr>
              <w:t>bala</w:t>
            </w:r>
            <w:r w:rsidR="00C91B39">
              <w:rPr>
                <w:rFonts w:eastAsia="Times New Roman" w:hAnsi="Times New Roman" w:cs="Times New Roman"/>
                <w:b/>
                <w:bCs/>
                <w:color w:val="000000"/>
                <w:sz w:val="22"/>
                <w:szCs w:val="22"/>
              </w:rPr>
              <w:t>i</w:t>
            </w:r>
            <w:r w:rsidRPr="009A7A00">
              <w:rPr>
                <w:rFonts w:eastAsia="Times New Roman" w:hAnsi="Times New Roman" w:cs="Times New Roman"/>
                <w:b/>
                <w:bCs/>
                <w:color w:val="000000"/>
                <w:sz w:val="22"/>
                <w:szCs w:val="22"/>
              </w:rPr>
              <w:t xml:space="preserve">, už 2 papildomas </w:t>
            </w:r>
            <w:r w:rsidRPr="009A7A00">
              <w:rPr>
                <w:rFonts w:eastAsia="Times New Roman" w:hAnsi="Times New Roman" w:cs="Times New Roman"/>
                <w:b/>
                <w:bCs/>
                <w:color w:val="000000"/>
                <w:sz w:val="22"/>
                <w:szCs w:val="22"/>
              </w:rPr>
              <w:lastRenderedPageBreak/>
              <w:t xml:space="preserve">sutartis (projektus) </w:t>
            </w:r>
            <w:r w:rsidR="006924AA">
              <w:rPr>
                <w:rFonts w:eastAsia="Times New Roman" w:hAnsi="Times New Roman" w:cs="Times New Roman"/>
                <w:b/>
                <w:bCs/>
                <w:color w:val="000000"/>
                <w:sz w:val="22"/>
                <w:szCs w:val="22"/>
              </w:rPr>
              <w:t>–</w:t>
            </w:r>
            <w:r w:rsidRPr="009A7A00">
              <w:rPr>
                <w:rFonts w:eastAsia="Times New Roman" w:hAnsi="Times New Roman" w:cs="Times New Roman"/>
                <w:b/>
                <w:bCs/>
                <w:color w:val="000000"/>
                <w:sz w:val="22"/>
                <w:szCs w:val="22"/>
              </w:rPr>
              <w:t xml:space="preserve"> </w:t>
            </w:r>
            <w:r w:rsidR="00C91B39">
              <w:rPr>
                <w:rFonts w:eastAsia="Times New Roman" w:hAnsi="Times New Roman" w:cs="Times New Roman"/>
                <w:b/>
                <w:bCs/>
                <w:color w:val="000000"/>
                <w:sz w:val="22"/>
                <w:szCs w:val="22"/>
              </w:rPr>
              <w:t>4</w:t>
            </w:r>
            <w:r w:rsidR="006924AA">
              <w:rPr>
                <w:rFonts w:eastAsia="Times New Roman" w:hAnsi="Times New Roman" w:cs="Times New Roman"/>
                <w:b/>
                <w:bCs/>
                <w:color w:val="000000"/>
                <w:sz w:val="22"/>
                <w:szCs w:val="22"/>
              </w:rPr>
              <w:t xml:space="preserve"> (</w:t>
            </w:r>
            <w:r w:rsidR="00C91B39">
              <w:rPr>
                <w:rFonts w:eastAsia="Times New Roman" w:hAnsi="Times New Roman" w:cs="Times New Roman"/>
                <w:b/>
                <w:bCs/>
                <w:color w:val="000000"/>
                <w:sz w:val="22"/>
                <w:szCs w:val="22"/>
              </w:rPr>
              <w:t>keturi</w:t>
            </w:r>
            <w:r w:rsidR="006924AA">
              <w:rPr>
                <w:rFonts w:eastAsia="Times New Roman" w:hAnsi="Times New Roman" w:cs="Times New Roman"/>
                <w:b/>
                <w:bCs/>
                <w:color w:val="000000"/>
                <w:sz w:val="22"/>
                <w:szCs w:val="22"/>
              </w:rPr>
              <w:t>)</w:t>
            </w:r>
            <w:r w:rsidRPr="009A7A00">
              <w:rPr>
                <w:rFonts w:eastAsia="Times New Roman" w:hAnsi="Times New Roman" w:cs="Times New Roman"/>
                <w:b/>
                <w:bCs/>
                <w:color w:val="000000"/>
                <w:sz w:val="22"/>
                <w:szCs w:val="22"/>
              </w:rPr>
              <w:t xml:space="preserve"> balai ir t.t.</w:t>
            </w:r>
          </w:p>
          <w:p w14:paraId="3C6740E7" w14:textId="77777777" w:rsidR="008C04F8" w:rsidRPr="00C91B39" w:rsidRDefault="008C04F8" w:rsidP="00191ED4">
            <w:pPr>
              <w:tabs>
                <w:tab w:val="left" w:pos="1134"/>
                <w:tab w:val="left" w:pos="1620"/>
              </w:tabs>
              <w:spacing w:line="240" w:lineRule="auto"/>
              <w:jc w:val="both"/>
              <w:rPr>
                <w:rFonts w:eastAsia="Times New Roman" w:hAnsi="Times New Roman" w:cs="Times New Roman"/>
                <w:color w:val="000000"/>
                <w:sz w:val="22"/>
                <w:szCs w:val="22"/>
              </w:rPr>
            </w:pPr>
          </w:p>
          <w:p w14:paraId="6031AB51" w14:textId="4F05A526"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r w:rsidRPr="009A7A00">
              <w:rPr>
                <w:rFonts w:eastAsia="Times New Roman" w:hAnsi="Times New Roman" w:cs="Times New Roman"/>
                <w:b/>
                <w:bCs/>
                <w:color w:val="000000"/>
                <w:sz w:val="22"/>
                <w:szCs w:val="22"/>
              </w:rPr>
              <w:t xml:space="preserve">Maksimalus balų skaičius: </w:t>
            </w:r>
            <w:r w:rsidR="00DB3C84">
              <w:rPr>
                <w:rFonts w:eastAsia="Times New Roman" w:hAnsi="Times New Roman" w:cs="Times New Roman"/>
                <w:b/>
                <w:bCs/>
                <w:color w:val="000000"/>
                <w:sz w:val="22"/>
                <w:szCs w:val="22"/>
              </w:rPr>
              <w:t>10</w:t>
            </w:r>
            <w:r w:rsidRPr="009A7A00">
              <w:rPr>
                <w:rFonts w:eastAsia="Times New Roman" w:hAnsi="Times New Roman" w:cs="Times New Roman"/>
                <w:b/>
                <w:bCs/>
                <w:color w:val="000000"/>
                <w:sz w:val="22"/>
                <w:szCs w:val="22"/>
              </w:rPr>
              <w:t xml:space="preserve"> bal</w:t>
            </w:r>
            <w:r w:rsidR="00DB3C84">
              <w:rPr>
                <w:rFonts w:eastAsia="Times New Roman" w:hAnsi="Times New Roman" w:cs="Times New Roman"/>
                <w:b/>
                <w:bCs/>
                <w:color w:val="000000"/>
                <w:sz w:val="22"/>
                <w:szCs w:val="22"/>
              </w:rPr>
              <w:t>ų</w:t>
            </w:r>
            <w:r w:rsidRPr="009A7A00">
              <w:rPr>
                <w:rFonts w:eastAsia="Times New Roman" w:hAnsi="Times New Roman" w:cs="Times New Roman"/>
                <w:b/>
                <w:bCs/>
                <w:color w:val="000000"/>
                <w:sz w:val="22"/>
                <w:szCs w:val="22"/>
              </w:rPr>
              <w:t xml:space="preserve">, </w:t>
            </w:r>
            <w:proofErr w:type="spellStart"/>
            <w:r w:rsidRPr="009A7A00">
              <w:rPr>
                <w:rFonts w:eastAsia="Times New Roman" w:hAnsi="Times New Roman" w:cs="Times New Roman"/>
                <w:color w:val="000000"/>
                <w:sz w:val="22"/>
                <w:szCs w:val="22"/>
              </w:rPr>
              <w:t>t.y</w:t>
            </w:r>
            <w:proofErr w:type="spellEnd"/>
            <w:r w:rsidRPr="009A7A00">
              <w:rPr>
                <w:rFonts w:eastAsia="Times New Roman" w:hAnsi="Times New Roman" w:cs="Times New Roman"/>
                <w:color w:val="000000"/>
                <w:sz w:val="22"/>
                <w:szCs w:val="22"/>
              </w:rPr>
              <w:t xml:space="preserve">. už </w:t>
            </w:r>
            <w:r w:rsidR="004B309D">
              <w:rPr>
                <w:rFonts w:eastAsia="Times New Roman" w:hAnsi="Times New Roman" w:cs="Times New Roman"/>
                <w:color w:val="000000"/>
                <w:sz w:val="22"/>
                <w:szCs w:val="22"/>
              </w:rPr>
              <w:t>5</w:t>
            </w:r>
            <w:r w:rsidRPr="009A7A00">
              <w:rPr>
                <w:rFonts w:eastAsia="Times New Roman" w:hAnsi="Times New Roman" w:cs="Times New Roman"/>
                <w:color w:val="000000"/>
                <w:sz w:val="22"/>
                <w:szCs w:val="22"/>
              </w:rPr>
              <w:t xml:space="preserve"> (</w:t>
            </w:r>
            <w:r w:rsidR="004B309D">
              <w:rPr>
                <w:rFonts w:eastAsia="Times New Roman" w:hAnsi="Times New Roman" w:cs="Times New Roman"/>
                <w:color w:val="000000"/>
                <w:sz w:val="22"/>
                <w:szCs w:val="22"/>
              </w:rPr>
              <w:t>penkias</w:t>
            </w:r>
            <w:r w:rsidRPr="009A7A00">
              <w:rPr>
                <w:rFonts w:eastAsia="Times New Roman" w:hAnsi="Times New Roman" w:cs="Times New Roman"/>
                <w:color w:val="000000"/>
                <w:sz w:val="22"/>
                <w:szCs w:val="22"/>
              </w:rPr>
              <w:t xml:space="preserve">) ir daugiau </w:t>
            </w:r>
            <w:r w:rsidRPr="009A7A00">
              <w:rPr>
                <w:rFonts w:eastAsia="Times New Roman" w:hAnsi="Times New Roman" w:cs="Times New Roman"/>
                <w:b/>
                <w:bCs/>
                <w:color w:val="000000"/>
                <w:sz w:val="22"/>
                <w:szCs w:val="22"/>
              </w:rPr>
              <w:t>papildomas sutartis (projektus)</w:t>
            </w:r>
            <w:r w:rsidRPr="009A7A00">
              <w:rPr>
                <w:rFonts w:eastAsia="Times New Roman" w:hAnsi="Times New Roman" w:cs="Times New Roman"/>
                <w:color w:val="000000"/>
                <w:sz w:val="22"/>
                <w:szCs w:val="22"/>
              </w:rPr>
              <w:t xml:space="preserve"> </w:t>
            </w:r>
            <w:r w:rsidR="004B309D">
              <w:rPr>
                <w:rFonts w:eastAsia="Times New Roman" w:hAnsi="Times New Roman" w:cs="Times New Roman"/>
                <w:color w:val="000000"/>
                <w:sz w:val="22"/>
                <w:szCs w:val="22"/>
              </w:rPr>
              <w:t>skiriama 10 (dešimt) balų</w:t>
            </w:r>
            <w:r w:rsidRPr="009A7A00">
              <w:rPr>
                <w:rFonts w:eastAsia="Times New Roman" w:hAnsi="Times New Roman" w:cs="Times New Roman"/>
                <w:color w:val="000000"/>
                <w:sz w:val="22"/>
                <w:szCs w:val="22"/>
              </w:rPr>
              <w:t>.</w:t>
            </w:r>
          </w:p>
        </w:tc>
        <w:tc>
          <w:tcPr>
            <w:tcW w:w="1504" w:type="dxa"/>
            <w:gridSpan w:val="2"/>
          </w:tcPr>
          <w:p w14:paraId="6C86349D" w14:textId="77D5D5A0" w:rsidR="008C04F8" w:rsidRPr="009A7A00" w:rsidRDefault="008508F1" w:rsidP="00191ED4">
            <w:pPr>
              <w:tabs>
                <w:tab w:val="left" w:pos="1134"/>
                <w:tab w:val="left" w:pos="1620"/>
              </w:tabs>
              <w:spacing w:line="240" w:lineRule="auto"/>
              <w:jc w:val="center"/>
              <w:rPr>
                <w:rFonts w:eastAsia="Times New Roman" w:hAnsi="Times New Roman" w:cs="Times New Roman"/>
                <w:sz w:val="22"/>
                <w:szCs w:val="22"/>
              </w:rPr>
            </w:pPr>
            <w:r>
              <w:rPr>
                <w:rFonts w:eastAsia="Times New Roman" w:hAnsi="Times New Roman" w:cs="Times New Roman"/>
                <w:sz w:val="22"/>
                <w:szCs w:val="22"/>
              </w:rPr>
              <w:lastRenderedPageBreak/>
              <w:t>10</w:t>
            </w:r>
          </w:p>
        </w:tc>
      </w:tr>
      <w:tr w:rsidR="008C04F8" w:rsidRPr="009A7A00" w14:paraId="6EE3C85E" w14:textId="77777777" w:rsidTr="001C1C4D">
        <w:trPr>
          <w:jc w:val="center"/>
        </w:trPr>
        <w:tc>
          <w:tcPr>
            <w:tcW w:w="4135" w:type="dxa"/>
            <w:vMerge/>
            <w:tcBorders>
              <w:left w:val="single" w:sz="4" w:space="0" w:color="000000" w:themeColor="text1"/>
              <w:right w:val="single" w:sz="4" w:space="0" w:color="000000" w:themeColor="text1"/>
            </w:tcBorders>
          </w:tcPr>
          <w:p w14:paraId="781F60CD" w14:textId="77777777"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19AC5" w14:textId="3098DD00" w:rsidR="008C04F8" w:rsidRPr="009A7A00" w:rsidRDefault="00B946DF" w:rsidP="00191ED4">
            <w:pPr>
              <w:tabs>
                <w:tab w:val="left" w:pos="1134"/>
                <w:tab w:val="left" w:pos="1620"/>
              </w:tabs>
              <w:spacing w:line="240" w:lineRule="auto"/>
              <w:jc w:val="both"/>
              <w:rPr>
                <w:rFonts w:eastAsia="Times New Roman" w:hAnsi="Times New Roman" w:cs="Times New Roman"/>
                <w:b/>
                <w:bCs/>
                <w:color w:val="000000"/>
                <w:sz w:val="22"/>
                <w:szCs w:val="22"/>
              </w:rPr>
            </w:pPr>
            <w:r>
              <w:rPr>
                <w:rFonts w:eastAsia="Times New Roman" w:hAnsi="Times New Roman" w:cs="Times New Roman"/>
                <w:b/>
                <w:bCs/>
                <w:color w:val="000000"/>
                <w:sz w:val="22"/>
                <w:szCs w:val="22"/>
              </w:rPr>
              <w:t>I</w:t>
            </w:r>
            <w:r w:rsidR="008C04F8" w:rsidRPr="009A7A00">
              <w:rPr>
                <w:rFonts w:eastAsia="Times New Roman" w:hAnsi="Times New Roman" w:cs="Times New Roman"/>
                <w:b/>
                <w:bCs/>
                <w:color w:val="000000"/>
                <w:sz w:val="22"/>
                <w:szCs w:val="22"/>
              </w:rPr>
              <w:t>nformacinių sistemų analitik</w:t>
            </w:r>
            <w:r>
              <w:rPr>
                <w:rFonts w:eastAsia="Times New Roman" w:hAnsi="Times New Roman" w:cs="Times New Roman"/>
                <w:b/>
                <w:bCs/>
                <w:color w:val="000000"/>
                <w:sz w:val="22"/>
                <w:szCs w:val="22"/>
              </w:rPr>
              <w:t>o papildoma patirtis</w:t>
            </w:r>
          </w:p>
          <w:p w14:paraId="122B72FA" w14:textId="760F8B8A"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r w:rsidRPr="009A7A00">
              <w:rPr>
                <w:rFonts w:eastAsia="Times New Roman" w:hAnsi="Times New Roman" w:cs="Times New Roman"/>
                <w:color w:val="000000"/>
                <w:sz w:val="22"/>
                <w:szCs w:val="22"/>
              </w:rPr>
              <w:t xml:space="preserve">Už kiekvieną </w:t>
            </w:r>
            <w:r w:rsidR="008B2DCE">
              <w:rPr>
                <w:rFonts w:eastAsia="Times New Roman" w:hAnsi="Times New Roman" w:cs="Times New Roman"/>
                <w:color w:val="000000"/>
                <w:sz w:val="22"/>
                <w:szCs w:val="22"/>
              </w:rPr>
              <w:t xml:space="preserve">papildomą </w:t>
            </w:r>
            <w:r w:rsidRPr="009A7A00">
              <w:rPr>
                <w:rFonts w:eastAsia="Times New Roman" w:hAnsi="Times New Roman" w:cs="Times New Roman"/>
                <w:color w:val="000000"/>
                <w:sz w:val="22"/>
                <w:szCs w:val="22"/>
              </w:rPr>
              <w:t xml:space="preserve">sutartį (projektą), atitinkantį </w:t>
            </w:r>
            <w:r w:rsidRPr="009A7A00">
              <w:rPr>
                <w:rFonts w:eastAsia="Times New Roman" w:hAnsi="Times New Roman" w:cs="Times New Roman"/>
                <w:b/>
                <w:bCs/>
                <w:color w:val="000000"/>
                <w:sz w:val="22"/>
                <w:szCs w:val="22"/>
              </w:rPr>
              <w:t>T</w:t>
            </w:r>
            <w:r w:rsidR="00C91B39" w:rsidRPr="004B309D">
              <w:rPr>
                <w:rFonts w:eastAsia="Times New Roman" w:hAnsi="Times New Roman" w:cs="Times New Roman"/>
                <w:b/>
                <w:bCs/>
                <w:color w:val="000000"/>
                <w:sz w:val="22"/>
                <w:szCs w:val="22"/>
                <w:vertAlign w:val="subscript"/>
              </w:rPr>
              <w:t>2</w:t>
            </w:r>
            <w:r w:rsidRPr="004B309D">
              <w:rPr>
                <w:rFonts w:eastAsia="Times New Roman" w:hAnsi="Times New Roman" w:cs="Times New Roman"/>
                <w:color w:val="000000"/>
                <w:sz w:val="22"/>
                <w:szCs w:val="22"/>
                <w:vertAlign w:val="subscript"/>
              </w:rPr>
              <w:t xml:space="preserve"> </w:t>
            </w:r>
            <w:r w:rsidRPr="009A7A00">
              <w:rPr>
                <w:rFonts w:eastAsia="Times New Roman" w:hAnsi="Times New Roman" w:cs="Times New Roman"/>
                <w:color w:val="000000"/>
                <w:sz w:val="22"/>
                <w:szCs w:val="22"/>
              </w:rPr>
              <w:t>kriterijaus sąlygas,</w:t>
            </w:r>
            <w:r w:rsidRPr="009A7A00">
              <w:rPr>
                <w:rFonts w:eastAsia="Times New Roman" w:hAnsi="Times New Roman" w:cs="Times New Roman"/>
                <w:b/>
                <w:bCs/>
                <w:color w:val="000000"/>
                <w:sz w:val="22"/>
                <w:szCs w:val="22"/>
              </w:rPr>
              <w:t xml:space="preserve"> </w:t>
            </w:r>
            <w:r w:rsidRPr="009A7A00">
              <w:rPr>
                <w:rFonts w:eastAsia="Times New Roman" w:hAnsi="Times New Roman" w:cs="Times New Roman"/>
                <w:color w:val="000000"/>
                <w:sz w:val="22"/>
                <w:szCs w:val="22"/>
              </w:rPr>
              <w:t xml:space="preserve">skiriama po 1 (vieną) balą. Skaičiuojamos tik papildomos sutartys (projektai), kuriais nebuvo remtasi grindžiant atitiktį būtiniems tiekėjų kvalifikacijos reikalavimams ir kuriose patirtis įgyta pagal savo pareigas / funkcijas, </w:t>
            </w:r>
            <w:proofErr w:type="spellStart"/>
            <w:r w:rsidRPr="009A7A00">
              <w:rPr>
                <w:rFonts w:eastAsia="Times New Roman" w:hAnsi="Times New Roman" w:cs="Times New Roman"/>
                <w:color w:val="000000"/>
                <w:sz w:val="22"/>
                <w:szCs w:val="22"/>
              </w:rPr>
              <w:t>t.y</w:t>
            </w:r>
            <w:proofErr w:type="spellEnd"/>
            <w:r w:rsidRPr="009A7A00">
              <w:rPr>
                <w:rFonts w:eastAsia="Times New Roman" w:hAnsi="Times New Roman" w:cs="Times New Roman"/>
                <w:color w:val="000000"/>
                <w:sz w:val="22"/>
                <w:szCs w:val="22"/>
              </w:rPr>
              <w:t xml:space="preserve">. informacinių sistemų analitiko </w:t>
            </w:r>
            <w:r w:rsidR="00804C97">
              <w:rPr>
                <w:rFonts w:eastAsia="Times New Roman" w:hAnsi="Times New Roman" w:cs="Times New Roman"/>
                <w:color w:val="000000"/>
                <w:sz w:val="22"/>
                <w:szCs w:val="22"/>
              </w:rPr>
              <w:t xml:space="preserve">papildomos </w:t>
            </w:r>
            <w:r w:rsidRPr="009A7A00">
              <w:rPr>
                <w:rFonts w:eastAsia="Times New Roman" w:hAnsi="Times New Roman" w:cs="Times New Roman"/>
                <w:color w:val="000000"/>
                <w:sz w:val="22"/>
                <w:szCs w:val="22"/>
              </w:rPr>
              <w:t xml:space="preserve">patirties atitikimas </w:t>
            </w:r>
            <w:r w:rsidRPr="009A7A00">
              <w:rPr>
                <w:rFonts w:eastAsia="Times New Roman" w:hAnsi="Times New Roman" w:cs="Times New Roman"/>
                <w:b/>
                <w:bCs/>
                <w:color w:val="000000"/>
                <w:sz w:val="22"/>
                <w:szCs w:val="22"/>
              </w:rPr>
              <w:t>T</w:t>
            </w:r>
            <w:r w:rsidR="00C91B39" w:rsidRPr="004B309D">
              <w:rPr>
                <w:rFonts w:eastAsia="Times New Roman" w:hAnsi="Times New Roman" w:cs="Times New Roman"/>
                <w:b/>
                <w:bCs/>
                <w:color w:val="000000"/>
                <w:sz w:val="22"/>
                <w:szCs w:val="22"/>
                <w:vertAlign w:val="subscript"/>
              </w:rPr>
              <w:t>2</w:t>
            </w:r>
            <w:r w:rsidRPr="009A7A00">
              <w:rPr>
                <w:rFonts w:eastAsia="Times New Roman" w:hAnsi="Times New Roman" w:cs="Times New Roman"/>
                <w:color w:val="000000"/>
                <w:sz w:val="22"/>
                <w:szCs w:val="22"/>
              </w:rPr>
              <w:t xml:space="preserve"> kriterijaus sąlygas atitinkančiose sutartyse (projektuose) vertinama pagal juose vykdytas informacinių sistemų analitiko pareigas / funkcijas</w:t>
            </w:r>
          </w:p>
        </w:tc>
        <w:tc>
          <w:tcPr>
            <w:tcW w:w="4050" w:type="dxa"/>
            <w:vMerge/>
            <w:tcBorders>
              <w:left w:val="single" w:sz="4" w:space="0" w:color="000000" w:themeColor="text1"/>
              <w:right w:val="single" w:sz="4" w:space="0" w:color="000000" w:themeColor="text1"/>
            </w:tcBorders>
            <w:vAlign w:val="center"/>
          </w:tcPr>
          <w:p w14:paraId="46E36D78" w14:textId="4DD7496B"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p>
        </w:tc>
        <w:tc>
          <w:tcPr>
            <w:tcW w:w="1504" w:type="dxa"/>
            <w:gridSpan w:val="2"/>
          </w:tcPr>
          <w:p w14:paraId="1DEB81EB" w14:textId="54CC570F" w:rsidR="008C04F8" w:rsidRPr="009A7A00" w:rsidRDefault="008508F1" w:rsidP="00191ED4">
            <w:pPr>
              <w:tabs>
                <w:tab w:val="left" w:pos="1134"/>
                <w:tab w:val="left" w:pos="1620"/>
              </w:tabs>
              <w:spacing w:line="240" w:lineRule="auto"/>
              <w:jc w:val="center"/>
              <w:rPr>
                <w:rFonts w:eastAsia="Times New Roman" w:hAnsi="Times New Roman" w:cs="Times New Roman"/>
                <w:sz w:val="22"/>
                <w:szCs w:val="22"/>
              </w:rPr>
            </w:pPr>
            <w:r>
              <w:rPr>
                <w:rFonts w:eastAsia="Times New Roman" w:hAnsi="Times New Roman" w:cs="Times New Roman"/>
                <w:sz w:val="22"/>
                <w:szCs w:val="22"/>
              </w:rPr>
              <w:t>10</w:t>
            </w:r>
          </w:p>
        </w:tc>
      </w:tr>
      <w:tr w:rsidR="008C04F8" w:rsidRPr="009A7A00" w14:paraId="4646E4D7" w14:textId="77777777" w:rsidTr="001C1C4D">
        <w:trPr>
          <w:jc w:val="center"/>
        </w:trPr>
        <w:tc>
          <w:tcPr>
            <w:tcW w:w="4135" w:type="dxa"/>
            <w:vMerge/>
            <w:tcBorders>
              <w:left w:val="single" w:sz="4" w:space="0" w:color="000000" w:themeColor="text1"/>
              <w:right w:val="single" w:sz="4" w:space="0" w:color="000000" w:themeColor="text1"/>
            </w:tcBorders>
          </w:tcPr>
          <w:p w14:paraId="338AC09A" w14:textId="77777777"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B908F" w14:textId="60DCACA1" w:rsidR="008C04F8" w:rsidRPr="009A7A00" w:rsidRDefault="00804C97" w:rsidP="00191ED4">
            <w:pPr>
              <w:spacing w:line="240" w:lineRule="auto"/>
              <w:jc w:val="both"/>
              <w:rPr>
                <w:rFonts w:eastAsia="Times New Roman" w:hAnsi="Times New Roman" w:cs="Times New Roman"/>
                <w:sz w:val="22"/>
                <w:szCs w:val="22"/>
              </w:rPr>
            </w:pPr>
            <w:r>
              <w:rPr>
                <w:rFonts w:eastAsia="Times New Roman" w:hAnsi="Times New Roman" w:cs="Times New Roman"/>
                <w:b/>
                <w:bCs/>
                <w:color w:val="000000"/>
                <w:sz w:val="22"/>
                <w:szCs w:val="22"/>
              </w:rPr>
              <w:t>I</w:t>
            </w:r>
            <w:r w:rsidR="008C04F8" w:rsidRPr="009A7A00">
              <w:rPr>
                <w:rFonts w:eastAsia="Times New Roman" w:hAnsi="Times New Roman" w:cs="Times New Roman"/>
                <w:b/>
                <w:bCs/>
                <w:color w:val="000000"/>
                <w:sz w:val="22"/>
                <w:szCs w:val="22"/>
              </w:rPr>
              <w:t>nformacinių sistemų architekt</w:t>
            </w:r>
            <w:r>
              <w:rPr>
                <w:rFonts w:eastAsia="Times New Roman" w:hAnsi="Times New Roman" w:cs="Times New Roman"/>
                <w:b/>
                <w:bCs/>
                <w:color w:val="000000"/>
                <w:sz w:val="22"/>
                <w:szCs w:val="22"/>
              </w:rPr>
              <w:t>o papildoma patirtis</w:t>
            </w:r>
          </w:p>
          <w:p w14:paraId="6FB5BC20" w14:textId="5FF4D133"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r w:rsidRPr="009A7A00">
              <w:rPr>
                <w:rFonts w:eastAsia="Times New Roman" w:hAnsi="Times New Roman" w:cs="Times New Roman"/>
                <w:color w:val="000000"/>
                <w:sz w:val="22"/>
                <w:szCs w:val="22"/>
              </w:rPr>
              <w:t xml:space="preserve">Už kiekvieną </w:t>
            </w:r>
            <w:r w:rsidR="008B2DCE">
              <w:rPr>
                <w:rFonts w:eastAsia="Times New Roman" w:hAnsi="Times New Roman" w:cs="Times New Roman"/>
                <w:color w:val="000000"/>
                <w:sz w:val="22"/>
                <w:szCs w:val="22"/>
              </w:rPr>
              <w:t xml:space="preserve">papildomą </w:t>
            </w:r>
            <w:r w:rsidRPr="009A7A00">
              <w:rPr>
                <w:rFonts w:eastAsia="Times New Roman" w:hAnsi="Times New Roman" w:cs="Times New Roman"/>
                <w:color w:val="000000"/>
                <w:sz w:val="22"/>
                <w:szCs w:val="22"/>
              </w:rPr>
              <w:t xml:space="preserve">sutartį (projektą), atitinkantį </w:t>
            </w:r>
            <w:r w:rsidRPr="009A7A00">
              <w:rPr>
                <w:rFonts w:eastAsia="Times New Roman" w:hAnsi="Times New Roman" w:cs="Times New Roman"/>
                <w:b/>
                <w:bCs/>
                <w:color w:val="000000"/>
                <w:sz w:val="22"/>
                <w:szCs w:val="22"/>
              </w:rPr>
              <w:t>T</w:t>
            </w:r>
            <w:r w:rsidR="00C91B39" w:rsidRPr="004B309D">
              <w:rPr>
                <w:rFonts w:eastAsia="Times New Roman" w:hAnsi="Times New Roman" w:cs="Times New Roman"/>
                <w:b/>
                <w:bCs/>
                <w:color w:val="000000"/>
                <w:sz w:val="22"/>
                <w:szCs w:val="22"/>
                <w:vertAlign w:val="subscript"/>
              </w:rPr>
              <w:t>3</w:t>
            </w:r>
            <w:r w:rsidRPr="009A7A00">
              <w:rPr>
                <w:rFonts w:eastAsia="Times New Roman" w:hAnsi="Times New Roman" w:cs="Times New Roman"/>
                <w:color w:val="000000"/>
                <w:sz w:val="22"/>
                <w:szCs w:val="22"/>
              </w:rPr>
              <w:t xml:space="preserve"> kriterijaus sąlygas,</w:t>
            </w:r>
            <w:r w:rsidRPr="009A7A00">
              <w:rPr>
                <w:rFonts w:eastAsia="Times New Roman" w:hAnsi="Times New Roman" w:cs="Times New Roman"/>
                <w:b/>
                <w:bCs/>
                <w:color w:val="000000"/>
                <w:sz w:val="22"/>
                <w:szCs w:val="22"/>
              </w:rPr>
              <w:t xml:space="preserve"> </w:t>
            </w:r>
            <w:r w:rsidRPr="009A7A00">
              <w:rPr>
                <w:rFonts w:eastAsia="Times New Roman" w:hAnsi="Times New Roman" w:cs="Times New Roman"/>
                <w:color w:val="000000"/>
                <w:sz w:val="22"/>
                <w:szCs w:val="22"/>
              </w:rPr>
              <w:t xml:space="preserve">skiriama po 1 (vieną) balą. Skaičiuojamos tik papildomos sutartys (projektai), kuriais nebuvo remtasi grindžiant atitiktį būtiniems tiekėjų kvalifikacijos reikalavimams ir kuriose patirtis įgyta pagal savo pareigas / funkcijas, </w:t>
            </w:r>
            <w:proofErr w:type="spellStart"/>
            <w:r w:rsidRPr="009A7A00">
              <w:rPr>
                <w:rFonts w:eastAsia="Times New Roman" w:hAnsi="Times New Roman" w:cs="Times New Roman"/>
                <w:color w:val="000000"/>
                <w:sz w:val="22"/>
                <w:szCs w:val="22"/>
              </w:rPr>
              <w:t>t.y</w:t>
            </w:r>
            <w:proofErr w:type="spellEnd"/>
            <w:r w:rsidRPr="009A7A00">
              <w:rPr>
                <w:rFonts w:eastAsia="Times New Roman" w:hAnsi="Times New Roman" w:cs="Times New Roman"/>
                <w:color w:val="000000"/>
                <w:sz w:val="22"/>
                <w:szCs w:val="22"/>
              </w:rPr>
              <w:t xml:space="preserve">. informacinių sistemų architekto </w:t>
            </w:r>
            <w:r w:rsidR="006A23B1">
              <w:rPr>
                <w:rFonts w:eastAsia="Times New Roman" w:hAnsi="Times New Roman" w:cs="Times New Roman"/>
                <w:color w:val="000000"/>
                <w:sz w:val="22"/>
                <w:szCs w:val="22"/>
              </w:rPr>
              <w:t xml:space="preserve">papildomos </w:t>
            </w:r>
            <w:r w:rsidRPr="009A7A00">
              <w:rPr>
                <w:rFonts w:eastAsia="Times New Roman" w:hAnsi="Times New Roman" w:cs="Times New Roman"/>
                <w:color w:val="000000"/>
                <w:sz w:val="22"/>
                <w:szCs w:val="22"/>
              </w:rPr>
              <w:t xml:space="preserve">patirties atitikimas </w:t>
            </w:r>
            <w:r w:rsidRPr="009A7A00">
              <w:rPr>
                <w:rFonts w:eastAsia="Times New Roman" w:hAnsi="Times New Roman" w:cs="Times New Roman"/>
                <w:b/>
                <w:bCs/>
                <w:color w:val="000000"/>
                <w:sz w:val="22"/>
                <w:szCs w:val="22"/>
              </w:rPr>
              <w:t>T</w:t>
            </w:r>
            <w:r w:rsidR="00C91B39" w:rsidRPr="004B309D">
              <w:rPr>
                <w:rFonts w:eastAsia="Times New Roman" w:hAnsi="Times New Roman" w:cs="Times New Roman"/>
                <w:b/>
                <w:bCs/>
                <w:color w:val="000000"/>
                <w:sz w:val="22"/>
                <w:szCs w:val="22"/>
                <w:vertAlign w:val="subscript"/>
              </w:rPr>
              <w:t>3</w:t>
            </w:r>
            <w:r w:rsidRPr="009A7A00">
              <w:rPr>
                <w:rFonts w:eastAsia="Times New Roman" w:hAnsi="Times New Roman" w:cs="Times New Roman"/>
                <w:color w:val="000000"/>
                <w:sz w:val="22"/>
                <w:szCs w:val="22"/>
              </w:rPr>
              <w:t xml:space="preserve"> kriterijaus sąlygas atitinkančiose sutartyse (projektuose) vertinama pagal juose vykdytas informacinių sistemų architekto pareigas / funkcijas</w:t>
            </w:r>
          </w:p>
        </w:tc>
        <w:tc>
          <w:tcPr>
            <w:tcW w:w="4050" w:type="dxa"/>
            <w:vMerge/>
            <w:tcBorders>
              <w:left w:val="single" w:sz="4" w:space="0" w:color="000000" w:themeColor="text1"/>
              <w:right w:val="single" w:sz="4" w:space="0" w:color="000000" w:themeColor="text1"/>
            </w:tcBorders>
            <w:vAlign w:val="center"/>
          </w:tcPr>
          <w:p w14:paraId="3663D4C2" w14:textId="7815FC8D"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p>
        </w:tc>
        <w:tc>
          <w:tcPr>
            <w:tcW w:w="1504" w:type="dxa"/>
            <w:gridSpan w:val="2"/>
          </w:tcPr>
          <w:p w14:paraId="2EE5F078" w14:textId="0645F473" w:rsidR="008C04F8" w:rsidRPr="009A7A00" w:rsidRDefault="008508F1" w:rsidP="00191ED4">
            <w:pPr>
              <w:tabs>
                <w:tab w:val="left" w:pos="1134"/>
                <w:tab w:val="left" w:pos="1620"/>
              </w:tabs>
              <w:spacing w:line="240" w:lineRule="auto"/>
              <w:jc w:val="center"/>
              <w:rPr>
                <w:rFonts w:eastAsia="Times New Roman" w:hAnsi="Times New Roman" w:cs="Times New Roman"/>
                <w:sz w:val="22"/>
                <w:szCs w:val="22"/>
              </w:rPr>
            </w:pPr>
            <w:r>
              <w:rPr>
                <w:rFonts w:eastAsia="Times New Roman" w:hAnsi="Times New Roman" w:cs="Times New Roman"/>
                <w:sz w:val="22"/>
                <w:szCs w:val="22"/>
              </w:rPr>
              <w:t>10</w:t>
            </w:r>
          </w:p>
        </w:tc>
      </w:tr>
      <w:tr w:rsidR="008C04F8" w:rsidRPr="009A7A00" w14:paraId="7C0D1CEA" w14:textId="77777777" w:rsidTr="001C1C4D">
        <w:trPr>
          <w:jc w:val="center"/>
        </w:trPr>
        <w:tc>
          <w:tcPr>
            <w:tcW w:w="4135" w:type="dxa"/>
            <w:vMerge/>
            <w:tcBorders>
              <w:left w:val="single" w:sz="4" w:space="0" w:color="000000" w:themeColor="text1"/>
              <w:right w:val="single" w:sz="4" w:space="0" w:color="000000" w:themeColor="text1"/>
            </w:tcBorders>
          </w:tcPr>
          <w:p w14:paraId="28C5DD41" w14:textId="77777777" w:rsidR="008C04F8" w:rsidRPr="009A7A00" w:rsidRDefault="008C04F8" w:rsidP="00191ED4">
            <w:pPr>
              <w:tabs>
                <w:tab w:val="left" w:pos="1134"/>
                <w:tab w:val="left" w:pos="1620"/>
              </w:tabs>
              <w:spacing w:line="240" w:lineRule="auto"/>
              <w:jc w:val="both"/>
              <w:rPr>
                <w:rFonts w:eastAsia="Times New Roman" w:hAnsi="Times New Roman" w:cs="Times New Roman"/>
                <w:sz w:val="22"/>
                <w:szCs w:val="22"/>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5D596" w14:textId="57F6AFB8" w:rsidR="008C04F8" w:rsidRPr="009A7A00" w:rsidRDefault="008C04F8" w:rsidP="00191ED4">
            <w:pPr>
              <w:spacing w:line="240" w:lineRule="auto"/>
              <w:jc w:val="both"/>
              <w:rPr>
                <w:rFonts w:eastAsia="Times New Roman" w:hAnsi="Times New Roman" w:cs="Times New Roman"/>
                <w:sz w:val="22"/>
                <w:szCs w:val="22"/>
              </w:rPr>
            </w:pPr>
            <w:r w:rsidRPr="009A7A00">
              <w:rPr>
                <w:rFonts w:eastAsia="Times New Roman" w:hAnsi="Times New Roman" w:cs="Times New Roman"/>
                <w:b/>
                <w:bCs/>
                <w:color w:val="000000"/>
                <w:sz w:val="22"/>
                <w:szCs w:val="22"/>
              </w:rPr>
              <w:t>Programuotoj</w:t>
            </w:r>
            <w:r w:rsidR="006A23B1">
              <w:rPr>
                <w:rFonts w:eastAsia="Times New Roman" w:hAnsi="Times New Roman" w:cs="Times New Roman"/>
                <w:b/>
                <w:bCs/>
                <w:color w:val="000000"/>
                <w:sz w:val="22"/>
                <w:szCs w:val="22"/>
              </w:rPr>
              <w:t>o papildoma patirtis</w:t>
            </w:r>
          </w:p>
          <w:p w14:paraId="459FC691" w14:textId="1CEB7D28" w:rsidR="008C04F8" w:rsidRPr="009A7A00" w:rsidRDefault="008C04F8" w:rsidP="00191ED4">
            <w:pPr>
              <w:spacing w:line="240" w:lineRule="auto"/>
              <w:jc w:val="both"/>
              <w:rPr>
                <w:rFonts w:eastAsia="Times New Roman" w:hAnsi="Times New Roman" w:cs="Times New Roman"/>
                <w:b/>
                <w:bCs/>
                <w:color w:val="000000"/>
                <w:sz w:val="22"/>
                <w:szCs w:val="22"/>
              </w:rPr>
            </w:pPr>
            <w:r w:rsidRPr="009A7A00">
              <w:rPr>
                <w:rFonts w:eastAsia="Times New Roman" w:hAnsi="Times New Roman" w:cs="Times New Roman"/>
                <w:color w:val="000000"/>
                <w:sz w:val="22"/>
                <w:szCs w:val="22"/>
              </w:rPr>
              <w:t xml:space="preserve">Už kiekvieną papildomą sutartį (projektą), atitinkantį </w:t>
            </w:r>
            <w:r w:rsidRPr="009A7A00">
              <w:rPr>
                <w:rFonts w:eastAsia="Times New Roman" w:hAnsi="Times New Roman" w:cs="Times New Roman"/>
                <w:b/>
                <w:bCs/>
                <w:color w:val="000000"/>
                <w:sz w:val="22"/>
                <w:szCs w:val="22"/>
              </w:rPr>
              <w:t>T</w:t>
            </w:r>
            <w:r w:rsidR="00C91B39" w:rsidRPr="004B309D">
              <w:rPr>
                <w:rFonts w:eastAsia="Times New Roman" w:hAnsi="Times New Roman" w:cs="Times New Roman"/>
                <w:b/>
                <w:bCs/>
                <w:color w:val="000000"/>
                <w:sz w:val="22"/>
                <w:szCs w:val="22"/>
                <w:vertAlign w:val="subscript"/>
              </w:rPr>
              <w:t>4</w:t>
            </w:r>
            <w:r w:rsidRPr="009A7A00">
              <w:rPr>
                <w:rFonts w:eastAsia="Times New Roman" w:hAnsi="Times New Roman" w:cs="Times New Roman"/>
                <w:color w:val="000000"/>
                <w:sz w:val="22"/>
                <w:szCs w:val="22"/>
              </w:rPr>
              <w:t xml:space="preserve"> kriterijaus sąlygas,</w:t>
            </w:r>
            <w:r w:rsidRPr="009A7A00">
              <w:rPr>
                <w:rFonts w:eastAsia="Times New Roman" w:hAnsi="Times New Roman" w:cs="Times New Roman"/>
                <w:b/>
                <w:bCs/>
                <w:color w:val="000000"/>
                <w:sz w:val="22"/>
                <w:szCs w:val="22"/>
              </w:rPr>
              <w:t xml:space="preserve"> </w:t>
            </w:r>
            <w:r w:rsidRPr="009A7A00">
              <w:rPr>
                <w:rFonts w:eastAsia="Times New Roman" w:hAnsi="Times New Roman" w:cs="Times New Roman"/>
                <w:color w:val="000000"/>
                <w:sz w:val="22"/>
                <w:szCs w:val="22"/>
              </w:rPr>
              <w:t xml:space="preserve">skiriama po 1 (vieną) balą. Skaičiuojamos tik papildomos sutartys (projektai), kuriais nebuvo remtasi grindžiant atitiktį būtiniems tiekėjų kvalifikacijos reikalavimams ir kuriose patirtis įgyta pagal savo pareigas / funkcijas, </w:t>
            </w:r>
            <w:proofErr w:type="spellStart"/>
            <w:r w:rsidRPr="009A7A00">
              <w:rPr>
                <w:rFonts w:eastAsia="Times New Roman" w:hAnsi="Times New Roman" w:cs="Times New Roman"/>
                <w:color w:val="000000"/>
                <w:sz w:val="22"/>
                <w:szCs w:val="22"/>
              </w:rPr>
              <w:t>t.y</w:t>
            </w:r>
            <w:proofErr w:type="spellEnd"/>
            <w:r w:rsidRPr="009A7A00">
              <w:rPr>
                <w:rFonts w:eastAsia="Times New Roman" w:hAnsi="Times New Roman" w:cs="Times New Roman"/>
                <w:color w:val="000000"/>
                <w:sz w:val="22"/>
                <w:szCs w:val="22"/>
              </w:rPr>
              <w:t xml:space="preserve">. programuotojo patirties atitikimas </w:t>
            </w:r>
            <w:r w:rsidRPr="009A7A00">
              <w:rPr>
                <w:rFonts w:eastAsia="Times New Roman" w:hAnsi="Times New Roman" w:cs="Times New Roman"/>
                <w:b/>
                <w:bCs/>
                <w:color w:val="000000"/>
                <w:sz w:val="22"/>
                <w:szCs w:val="22"/>
              </w:rPr>
              <w:t>T</w:t>
            </w:r>
            <w:r w:rsidR="00C91B39" w:rsidRPr="004B309D">
              <w:rPr>
                <w:rFonts w:eastAsia="Times New Roman" w:hAnsi="Times New Roman" w:cs="Times New Roman"/>
                <w:b/>
                <w:bCs/>
                <w:color w:val="000000"/>
                <w:sz w:val="22"/>
                <w:szCs w:val="22"/>
                <w:vertAlign w:val="subscript"/>
              </w:rPr>
              <w:t>4</w:t>
            </w:r>
            <w:r w:rsidRPr="009A7A00">
              <w:rPr>
                <w:rFonts w:eastAsia="Times New Roman" w:hAnsi="Times New Roman" w:cs="Times New Roman"/>
                <w:color w:val="000000"/>
                <w:sz w:val="22"/>
                <w:szCs w:val="22"/>
              </w:rPr>
              <w:t xml:space="preserve"> </w:t>
            </w:r>
            <w:r w:rsidRPr="009A7A00">
              <w:rPr>
                <w:rFonts w:eastAsia="Times New Roman" w:hAnsi="Times New Roman" w:cs="Times New Roman"/>
                <w:color w:val="000000"/>
                <w:sz w:val="22"/>
                <w:szCs w:val="22"/>
              </w:rPr>
              <w:lastRenderedPageBreak/>
              <w:t>kriterijaus sąlygas atitinkančiose sutartyse (projektuose) vertinama pagal juose vykdytas programuotojo pareigas / funkcijas</w:t>
            </w:r>
          </w:p>
        </w:tc>
        <w:tc>
          <w:tcPr>
            <w:tcW w:w="4050" w:type="dxa"/>
            <w:vMerge/>
            <w:tcBorders>
              <w:left w:val="single" w:sz="4" w:space="0" w:color="000000" w:themeColor="text1"/>
              <w:bottom w:val="single" w:sz="4" w:space="0" w:color="000000" w:themeColor="text1"/>
              <w:right w:val="single" w:sz="4" w:space="0" w:color="000000" w:themeColor="text1"/>
            </w:tcBorders>
            <w:vAlign w:val="center"/>
          </w:tcPr>
          <w:p w14:paraId="5F953CE5" w14:textId="328B1525" w:rsidR="008C04F8" w:rsidRPr="009A7A00" w:rsidRDefault="008C04F8" w:rsidP="00191ED4">
            <w:pPr>
              <w:tabs>
                <w:tab w:val="left" w:pos="1134"/>
                <w:tab w:val="left" w:pos="1620"/>
              </w:tabs>
              <w:spacing w:line="240" w:lineRule="auto"/>
              <w:jc w:val="both"/>
              <w:rPr>
                <w:rFonts w:eastAsia="Times New Roman" w:hAnsi="Times New Roman" w:cs="Times New Roman"/>
                <w:b/>
                <w:bCs/>
                <w:color w:val="000000"/>
                <w:sz w:val="22"/>
                <w:szCs w:val="22"/>
              </w:rPr>
            </w:pPr>
          </w:p>
        </w:tc>
        <w:tc>
          <w:tcPr>
            <w:tcW w:w="1504" w:type="dxa"/>
            <w:gridSpan w:val="2"/>
          </w:tcPr>
          <w:p w14:paraId="7B4E0B1C" w14:textId="01DD74AE" w:rsidR="008C04F8" w:rsidRPr="009A7A00" w:rsidRDefault="008508F1" w:rsidP="00191ED4">
            <w:pPr>
              <w:tabs>
                <w:tab w:val="left" w:pos="1134"/>
                <w:tab w:val="left" w:pos="1620"/>
              </w:tabs>
              <w:spacing w:line="240" w:lineRule="auto"/>
              <w:jc w:val="center"/>
              <w:rPr>
                <w:rFonts w:eastAsia="Times New Roman" w:hAnsi="Times New Roman" w:cs="Times New Roman"/>
                <w:sz w:val="22"/>
                <w:szCs w:val="22"/>
              </w:rPr>
            </w:pPr>
            <w:r>
              <w:rPr>
                <w:rFonts w:eastAsia="Times New Roman" w:hAnsi="Times New Roman" w:cs="Times New Roman"/>
                <w:sz w:val="22"/>
                <w:szCs w:val="22"/>
              </w:rPr>
              <w:t>10</w:t>
            </w:r>
          </w:p>
        </w:tc>
      </w:tr>
    </w:tbl>
    <w:p w14:paraId="001BD7C4" w14:textId="77777777" w:rsidR="0049152C" w:rsidRDefault="0049152C" w:rsidP="009A7A00">
      <w:pPr>
        <w:spacing w:after="0" w:line="240" w:lineRule="auto"/>
        <w:jc w:val="both"/>
        <w:rPr>
          <w:rFonts w:ascii="Times New Roman" w:eastAsia="Times New Roman" w:hAnsi="Times New Roman" w:cs="Times New Roman"/>
          <w:color w:val="000000"/>
          <w:sz w:val="24"/>
          <w:szCs w:val="24"/>
          <w:lang w:eastAsia="en-US"/>
        </w:rPr>
      </w:pPr>
    </w:p>
    <w:p w14:paraId="71668707" w14:textId="77777777" w:rsidR="007E6424" w:rsidRPr="006B7B78" w:rsidRDefault="007E6424" w:rsidP="009A7A00">
      <w:pPr>
        <w:tabs>
          <w:tab w:val="left" w:pos="1134"/>
          <w:tab w:val="left" w:pos="1620"/>
        </w:tabs>
        <w:spacing w:after="0" w:line="240" w:lineRule="auto"/>
        <w:ind w:left="283"/>
        <w:jc w:val="center"/>
        <w:rPr>
          <w:rFonts w:ascii="Times New Roman" w:eastAsia="Times New Roman" w:hAnsi="Times New Roman" w:cs="Times New Roman"/>
          <w:sz w:val="24"/>
          <w:szCs w:val="24"/>
          <w:lang w:eastAsia="en-US"/>
        </w:rPr>
      </w:pPr>
      <w:r w:rsidRPr="006B7B78">
        <w:rPr>
          <w:rFonts w:ascii="Times New Roman" w:eastAsia="Times New Roman" w:hAnsi="Times New Roman" w:cs="Times New Roman"/>
          <w:sz w:val="24"/>
          <w:szCs w:val="24"/>
          <w:lang w:eastAsia="en-US"/>
        </w:rPr>
        <w:t>__________________</w:t>
      </w:r>
    </w:p>
    <w:p w14:paraId="17163543" w14:textId="77777777" w:rsidR="00A96187" w:rsidRPr="006B7B78" w:rsidRDefault="00A96187" w:rsidP="009A7A00">
      <w:pPr>
        <w:spacing w:after="0"/>
        <w:rPr>
          <w:rFonts w:ascii="Times New Roman" w:hAnsi="Times New Roman" w:cs="Times New Roman"/>
        </w:rPr>
      </w:pPr>
    </w:p>
    <w:sectPr w:rsidR="00A96187" w:rsidRPr="006B7B78" w:rsidSect="009A7A00">
      <w:headerReference w:type="default" r:id="rId7"/>
      <w:pgSz w:w="15840" w:h="12240" w:orient="landscape" w:code="1"/>
      <w:pgMar w:top="1152" w:right="576" w:bottom="1152"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C8840" w14:textId="77777777" w:rsidR="005A1AFB" w:rsidRDefault="005A1AFB" w:rsidP="007E6424">
      <w:pPr>
        <w:spacing w:after="0" w:line="240" w:lineRule="auto"/>
      </w:pPr>
      <w:r>
        <w:separator/>
      </w:r>
    </w:p>
  </w:endnote>
  <w:endnote w:type="continuationSeparator" w:id="0">
    <w:p w14:paraId="78F167BD" w14:textId="77777777" w:rsidR="005A1AFB" w:rsidRDefault="005A1AFB" w:rsidP="007E6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74B52" w14:textId="77777777" w:rsidR="005A1AFB" w:rsidRDefault="005A1AFB" w:rsidP="007E6424">
      <w:pPr>
        <w:spacing w:after="0" w:line="240" w:lineRule="auto"/>
      </w:pPr>
      <w:r>
        <w:separator/>
      </w:r>
    </w:p>
  </w:footnote>
  <w:footnote w:type="continuationSeparator" w:id="0">
    <w:p w14:paraId="008BE761" w14:textId="77777777" w:rsidR="005A1AFB" w:rsidRDefault="005A1AFB" w:rsidP="007E64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D08B1" w14:textId="6F3D1ADF" w:rsidR="00A330A5" w:rsidRPr="00F9297C" w:rsidRDefault="00A330A5" w:rsidP="00F9297C">
    <w:pPr>
      <w:jc w:val="right"/>
      <w:rPr>
        <w:rFonts w:ascii="Times New Roman" w:hAnsi="Times New Roman" w:cs="Times New Roman"/>
        <w:sz w:val="22"/>
        <w:szCs w:val="22"/>
      </w:rPr>
    </w:pPr>
    <w:r w:rsidRPr="00F9297C">
      <w:rPr>
        <w:rFonts w:ascii="Times New Roman" w:hAnsi="Times New Roman" w:cs="Times New Roman"/>
        <w:sz w:val="22"/>
        <w:szCs w:val="22"/>
      </w:rPr>
      <w:t>Specialiųjų pirkimo sąlygų 7 priedas „</w:t>
    </w:r>
    <w:r w:rsidR="003C5B11" w:rsidRPr="00F9297C">
      <w:rPr>
        <w:rFonts w:ascii="Times New Roman" w:eastAsia="Arial" w:hAnsi="Times New Roman" w:cs="Times New Roman"/>
        <w:sz w:val="22"/>
        <w:szCs w:val="22"/>
      </w:rPr>
      <w:t>Kokybės kriterijai ir jų vertinimas</w:t>
    </w:r>
    <w:r w:rsidRPr="00F9297C">
      <w:rPr>
        <w:rFonts w:ascii="Times New Roman" w:hAnsi="Times New Roman" w:cs="Times New Roman"/>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26A042BA"/>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C61A55"/>
    <w:multiLevelType w:val="hybridMultilevel"/>
    <w:tmpl w:val="31E8E55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374B7D"/>
    <w:multiLevelType w:val="hybridMultilevel"/>
    <w:tmpl w:val="B040F760"/>
    <w:lvl w:ilvl="0" w:tplc="D9342484">
      <w:start w:val="1"/>
      <w:numFmt w:val="decimal"/>
      <w:lvlText w:val="%1."/>
      <w:lvlJc w:val="left"/>
      <w:pPr>
        <w:ind w:left="6570" w:hanging="360"/>
      </w:pPr>
      <w:rPr>
        <w:rFonts w:hint="default"/>
        <w:b w:val="0"/>
        <w:b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509284B"/>
    <w:multiLevelType w:val="hybridMultilevel"/>
    <w:tmpl w:val="8098C7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474B54CF"/>
    <w:multiLevelType w:val="hybridMultilevel"/>
    <w:tmpl w:val="8098C78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3C93770"/>
    <w:multiLevelType w:val="hybridMultilevel"/>
    <w:tmpl w:val="8098C7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7A125B9F"/>
    <w:multiLevelType w:val="hybridMultilevel"/>
    <w:tmpl w:val="8098C7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64700274">
    <w:abstractNumId w:val="0"/>
  </w:num>
  <w:num w:numId="2" w16cid:durableId="2029599364">
    <w:abstractNumId w:val="1"/>
  </w:num>
  <w:num w:numId="3" w16cid:durableId="498733379">
    <w:abstractNumId w:val="4"/>
  </w:num>
  <w:num w:numId="4" w16cid:durableId="430007195">
    <w:abstractNumId w:val="3"/>
  </w:num>
  <w:num w:numId="5" w16cid:durableId="1100755247">
    <w:abstractNumId w:val="5"/>
  </w:num>
  <w:num w:numId="6" w16cid:durableId="786966003">
    <w:abstractNumId w:val="6"/>
  </w:num>
  <w:num w:numId="7" w16cid:durableId="1251885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424"/>
    <w:rsid w:val="00087875"/>
    <w:rsid w:val="00154583"/>
    <w:rsid w:val="001835CA"/>
    <w:rsid w:val="00191ED4"/>
    <w:rsid w:val="001C1C4D"/>
    <w:rsid w:val="001E31E7"/>
    <w:rsid w:val="001F1930"/>
    <w:rsid w:val="001F20BE"/>
    <w:rsid w:val="002428D3"/>
    <w:rsid w:val="00281A22"/>
    <w:rsid w:val="002969BE"/>
    <w:rsid w:val="002A2D35"/>
    <w:rsid w:val="002A37A2"/>
    <w:rsid w:val="002E3CB3"/>
    <w:rsid w:val="003170F7"/>
    <w:rsid w:val="00390410"/>
    <w:rsid w:val="003B4B9C"/>
    <w:rsid w:val="003C5B11"/>
    <w:rsid w:val="003D0758"/>
    <w:rsid w:val="003F0E86"/>
    <w:rsid w:val="0044414A"/>
    <w:rsid w:val="0044447C"/>
    <w:rsid w:val="00475DBB"/>
    <w:rsid w:val="0049152C"/>
    <w:rsid w:val="00493176"/>
    <w:rsid w:val="00496831"/>
    <w:rsid w:val="004B309D"/>
    <w:rsid w:val="004D14EC"/>
    <w:rsid w:val="00521F73"/>
    <w:rsid w:val="0055100B"/>
    <w:rsid w:val="00564B61"/>
    <w:rsid w:val="0059096D"/>
    <w:rsid w:val="005A1AFB"/>
    <w:rsid w:val="005B712C"/>
    <w:rsid w:val="005D755D"/>
    <w:rsid w:val="005F3556"/>
    <w:rsid w:val="006344ED"/>
    <w:rsid w:val="0066024B"/>
    <w:rsid w:val="006733DE"/>
    <w:rsid w:val="00675B0D"/>
    <w:rsid w:val="006924AA"/>
    <w:rsid w:val="0069713D"/>
    <w:rsid w:val="006A23B1"/>
    <w:rsid w:val="006B16AB"/>
    <w:rsid w:val="006B7B78"/>
    <w:rsid w:val="007106A3"/>
    <w:rsid w:val="00776DDC"/>
    <w:rsid w:val="007A6372"/>
    <w:rsid w:val="007B4AD3"/>
    <w:rsid w:val="007E6424"/>
    <w:rsid w:val="00804C97"/>
    <w:rsid w:val="00812E78"/>
    <w:rsid w:val="00824AE2"/>
    <w:rsid w:val="00830821"/>
    <w:rsid w:val="008508F1"/>
    <w:rsid w:val="0085162E"/>
    <w:rsid w:val="008A1FFA"/>
    <w:rsid w:val="008B2DCE"/>
    <w:rsid w:val="008C04F8"/>
    <w:rsid w:val="009459B2"/>
    <w:rsid w:val="0096132E"/>
    <w:rsid w:val="009653CE"/>
    <w:rsid w:val="009A7A00"/>
    <w:rsid w:val="009B7122"/>
    <w:rsid w:val="00A330A5"/>
    <w:rsid w:val="00A52BD9"/>
    <w:rsid w:val="00A94908"/>
    <w:rsid w:val="00A96187"/>
    <w:rsid w:val="00AB11C2"/>
    <w:rsid w:val="00AE1271"/>
    <w:rsid w:val="00AF13FD"/>
    <w:rsid w:val="00AF568F"/>
    <w:rsid w:val="00B46966"/>
    <w:rsid w:val="00B576A7"/>
    <w:rsid w:val="00B61994"/>
    <w:rsid w:val="00B73D36"/>
    <w:rsid w:val="00B84BD7"/>
    <w:rsid w:val="00B857F1"/>
    <w:rsid w:val="00B946DF"/>
    <w:rsid w:val="00B9764A"/>
    <w:rsid w:val="00BA6502"/>
    <w:rsid w:val="00BD4128"/>
    <w:rsid w:val="00BE187D"/>
    <w:rsid w:val="00C15DBB"/>
    <w:rsid w:val="00C52690"/>
    <w:rsid w:val="00C63EAC"/>
    <w:rsid w:val="00C667F6"/>
    <w:rsid w:val="00C91B39"/>
    <w:rsid w:val="00CB64B9"/>
    <w:rsid w:val="00CC5018"/>
    <w:rsid w:val="00CE42E3"/>
    <w:rsid w:val="00D01609"/>
    <w:rsid w:val="00D36C34"/>
    <w:rsid w:val="00D4515C"/>
    <w:rsid w:val="00D51604"/>
    <w:rsid w:val="00DA0B66"/>
    <w:rsid w:val="00DA0EA2"/>
    <w:rsid w:val="00DB313A"/>
    <w:rsid w:val="00DB3C84"/>
    <w:rsid w:val="00DB56CE"/>
    <w:rsid w:val="00DF1B3A"/>
    <w:rsid w:val="00E11E80"/>
    <w:rsid w:val="00E14333"/>
    <w:rsid w:val="00E154BD"/>
    <w:rsid w:val="00E1609D"/>
    <w:rsid w:val="00E60CC7"/>
    <w:rsid w:val="00E82F2B"/>
    <w:rsid w:val="00F27F02"/>
    <w:rsid w:val="00F35DDA"/>
    <w:rsid w:val="00F42984"/>
    <w:rsid w:val="00F54B7D"/>
    <w:rsid w:val="00F665F8"/>
    <w:rsid w:val="00F9297C"/>
    <w:rsid w:val="00FA40BB"/>
    <w:rsid w:val="00FA5B0A"/>
    <w:rsid w:val="00FE5312"/>
    <w:rsid w:val="00FF0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1CA2F"/>
  <w15:chartTrackingRefBased/>
  <w15:docId w15:val="{9B014ECE-1527-4BD8-9B41-9965BFDF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24"/>
    <w:pPr>
      <w:spacing w:line="276" w:lineRule="auto"/>
    </w:pPr>
    <w:rPr>
      <w:rFonts w:eastAsiaTheme="minorEastAsia"/>
      <w:kern w:val="0"/>
      <w:sz w:val="21"/>
      <w:szCs w:val="21"/>
      <w:lang w:val="lt-LT" w:eastAsia="lt-LT"/>
    </w:rPr>
  </w:style>
  <w:style w:type="paragraph" w:styleId="Heading1">
    <w:name w:val="heading 1"/>
    <w:basedOn w:val="Normal"/>
    <w:next w:val="Normal"/>
    <w:link w:val="Heading1Char"/>
    <w:uiPriority w:val="9"/>
    <w:qFormat/>
    <w:rsid w:val="007E64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E64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64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64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64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64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4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4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4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4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E64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64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64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64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64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4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4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424"/>
    <w:rPr>
      <w:rFonts w:eastAsiaTheme="majorEastAsia" w:cstheme="majorBidi"/>
      <w:color w:val="272727" w:themeColor="text1" w:themeTint="D8"/>
    </w:rPr>
  </w:style>
  <w:style w:type="paragraph" w:styleId="Title">
    <w:name w:val="Title"/>
    <w:basedOn w:val="Normal"/>
    <w:next w:val="Normal"/>
    <w:link w:val="TitleChar"/>
    <w:uiPriority w:val="10"/>
    <w:qFormat/>
    <w:rsid w:val="007E64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4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4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4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424"/>
    <w:pPr>
      <w:spacing w:before="160"/>
      <w:jc w:val="center"/>
    </w:pPr>
    <w:rPr>
      <w:i/>
      <w:iCs/>
      <w:color w:val="404040" w:themeColor="text1" w:themeTint="BF"/>
    </w:rPr>
  </w:style>
  <w:style w:type="character" w:customStyle="1" w:styleId="QuoteChar">
    <w:name w:val="Quote Char"/>
    <w:basedOn w:val="DefaultParagraphFont"/>
    <w:link w:val="Quote"/>
    <w:uiPriority w:val="29"/>
    <w:rsid w:val="007E6424"/>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34"/>
    <w:qFormat/>
    <w:rsid w:val="007E6424"/>
    <w:pPr>
      <w:ind w:left="720"/>
      <w:contextualSpacing/>
    </w:pPr>
  </w:style>
  <w:style w:type="character" w:styleId="IntenseEmphasis">
    <w:name w:val="Intense Emphasis"/>
    <w:basedOn w:val="DefaultParagraphFont"/>
    <w:uiPriority w:val="21"/>
    <w:qFormat/>
    <w:rsid w:val="007E6424"/>
    <w:rPr>
      <w:i/>
      <w:iCs/>
      <w:color w:val="0F4761" w:themeColor="accent1" w:themeShade="BF"/>
    </w:rPr>
  </w:style>
  <w:style w:type="paragraph" w:styleId="IntenseQuote">
    <w:name w:val="Intense Quote"/>
    <w:basedOn w:val="Normal"/>
    <w:next w:val="Normal"/>
    <w:link w:val="IntenseQuoteChar"/>
    <w:uiPriority w:val="30"/>
    <w:qFormat/>
    <w:rsid w:val="007E64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6424"/>
    <w:rPr>
      <w:i/>
      <w:iCs/>
      <w:color w:val="0F4761" w:themeColor="accent1" w:themeShade="BF"/>
    </w:rPr>
  </w:style>
  <w:style w:type="character" w:styleId="IntenseReference">
    <w:name w:val="Intense Reference"/>
    <w:basedOn w:val="DefaultParagraphFont"/>
    <w:uiPriority w:val="32"/>
    <w:qFormat/>
    <w:rsid w:val="007E6424"/>
    <w:rPr>
      <w:b/>
      <w:bCs/>
      <w:smallCaps/>
      <w:color w:val="0F4761" w:themeColor="accent1" w:themeShade="BF"/>
      <w:spacing w:val="5"/>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
    <w:basedOn w:val="Normal"/>
    <w:link w:val="FootnoteTextChar"/>
    <w:uiPriority w:val="99"/>
    <w:unhideWhenUsed/>
    <w:qFormat/>
    <w:rsid w:val="007E6424"/>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7E6424"/>
    <w:rPr>
      <w:rFonts w:eastAsiaTheme="minorEastAsia"/>
      <w:kern w:val="0"/>
      <w:sz w:val="20"/>
      <w:szCs w:val="20"/>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7E6424"/>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Char1,Ref1,Ref2"/>
    <w:basedOn w:val="DefaultParagraphFont"/>
    <w:link w:val="SUPERSCharCharCharCharCharCharCharChar"/>
    <w:uiPriority w:val="99"/>
    <w:unhideWhenUsed/>
    <w:qFormat/>
    <w:rsid w:val="007E6424"/>
    <w:rPr>
      <w:vertAlign w:val="superscript"/>
    </w:rPr>
  </w:style>
  <w:style w:type="table" w:styleId="TableGrid">
    <w:name w:val="Table Grid"/>
    <w:aliases w:val="Smart Text Table"/>
    <w:basedOn w:val="TableNormal"/>
    <w:rsid w:val="007E6424"/>
    <w:pPr>
      <w:spacing w:after="0" w:line="240" w:lineRule="auto"/>
    </w:pPr>
    <w:rPr>
      <w:rFonts w:ascii="Times New Roman" w:eastAsiaTheme="minorEastAsia"/>
      <w:kern w:val="0"/>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7E6424"/>
    <w:pPr>
      <w:spacing w:line="240" w:lineRule="auto"/>
    </w:pPr>
    <w:rPr>
      <w:b/>
      <w:bCs/>
      <w:color w:val="404040" w:themeColor="text1" w:themeTint="BF"/>
      <w:sz w:val="16"/>
      <w:szCs w:val="16"/>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7E6424"/>
    <w:pPr>
      <w:spacing w:before="60" w:line="240" w:lineRule="exact"/>
      <w:jc w:val="both"/>
    </w:pPr>
    <w:rPr>
      <w:rFonts w:eastAsiaTheme="minorHAnsi"/>
      <w:kern w:val="2"/>
      <w:sz w:val="22"/>
      <w:szCs w:val="22"/>
      <w:vertAlign w:val="superscript"/>
      <w:lang w:val="en-US" w:eastAsia="en-US"/>
    </w:rPr>
  </w:style>
  <w:style w:type="paragraph" w:styleId="Header">
    <w:name w:val="header"/>
    <w:basedOn w:val="Normal"/>
    <w:link w:val="HeaderChar"/>
    <w:uiPriority w:val="99"/>
    <w:unhideWhenUsed/>
    <w:rsid w:val="00A330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0A5"/>
    <w:rPr>
      <w:rFonts w:eastAsiaTheme="minorEastAsia"/>
      <w:kern w:val="0"/>
      <w:sz w:val="21"/>
      <w:szCs w:val="21"/>
      <w:lang w:val="lt-LT" w:eastAsia="lt-LT"/>
    </w:rPr>
  </w:style>
  <w:style w:type="paragraph" w:styleId="Footer">
    <w:name w:val="footer"/>
    <w:basedOn w:val="Normal"/>
    <w:link w:val="FooterChar"/>
    <w:uiPriority w:val="99"/>
    <w:unhideWhenUsed/>
    <w:rsid w:val="00A330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0A5"/>
    <w:rPr>
      <w:rFonts w:eastAsiaTheme="minorEastAsia"/>
      <w:kern w:val="0"/>
      <w:sz w:val="21"/>
      <w:szCs w:val="21"/>
      <w:lang w:val="lt-LT" w:eastAsia="lt-LT"/>
    </w:rPr>
  </w:style>
  <w:style w:type="paragraph" w:styleId="Revision">
    <w:name w:val="Revision"/>
    <w:hidden/>
    <w:uiPriority w:val="99"/>
    <w:semiHidden/>
    <w:rsid w:val="00C91B39"/>
    <w:pPr>
      <w:spacing w:after="0" w:line="240" w:lineRule="auto"/>
    </w:pPr>
    <w:rPr>
      <w:rFonts w:eastAsiaTheme="minorEastAsia"/>
      <w:kern w:val="0"/>
      <w:sz w:val="21"/>
      <w:szCs w:val="21"/>
      <w:lang w:val="lt-LT" w:eastAsia="lt-LT"/>
    </w:rPr>
  </w:style>
  <w:style w:type="character" w:styleId="CommentReference">
    <w:name w:val="annotation reference"/>
    <w:basedOn w:val="DefaultParagraphFont"/>
    <w:uiPriority w:val="99"/>
    <w:semiHidden/>
    <w:unhideWhenUsed/>
    <w:rsid w:val="00DB3C84"/>
    <w:rPr>
      <w:sz w:val="16"/>
      <w:szCs w:val="16"/>
    </w:rPr>
  </w:style>
  <w:style w:type="paragraph" w:styleId="CommentText">
    <w:name w:val="annotation text"/>
    <w:basedOn w:val="Normal"/>
    <w:link w:val="CommentTextChar"/>
    <w:uiPriority w:val="99"/>
    <w:unhideWhenUsed/>
    <w:rsid w:val="00DB3C84"/>
    <w:pPr>
      <w:spacing w:line="240" w:lineRule="auto"/>
    </w:pPr>
    <w:rPr>
      <w:sz w:val="20"/>
      <w:szCs w:val="20"/>
    </w:rPr>
  </w:style>
  <w:style w:type="character" w:customStyle="1" w:styleId="CommentTextChar">
    <w:name w:val="Comment Text Char"/>
    <w:basedOn w:val="DefaultParagraphFont"/>
    <w:link w:val="CommentText"/>
    <w:uiPriority w:val="99"/>
    <w:rsid w:val="00DB3C84"/>
    <w:rPr>
      <w:rFonts w:eastAsiaTheme="minorEastAsia"/>
      <w:kern w:val="0"/>
      <w:sz w:val="20"/>
      <w:szCs w:val="20"/>
      <w:lang w:val="lt-LT" w:eastAsia="lt-LT"/>
    </w:rPr>
  </w:style>
  <w:style w:type="paragraph" w:styleId="CommentSubject">
    <w:name w:val="annotation subject"/>
    <w:basedOn w:val="CommentText"/>
    <w:next w:val="CommentText"/>
    <w:link w:val="CommentSubjectChar"/>
    <w:uiPriority w:val="99"/>
    <w:semiHidden/>
    <w:unhideWhenUsed/>
    <w:rsid w:val="00DB3C84"/>
    <w:rPr>
      <w:b/>
      <w:bCs/>
    </w:rPr>
  </w:style>
  <w:style w:type="character" w:customStyle="1" w:styleId="CommentSubjectChar">
    <w:name w:val="Comment Subject Char"/>
    <w:basedOn w:val="CommentTextChar"/>
    <w:link w:val="CommentSubject"/>
    <w:uiPriority w:val="99"/>
    <w:semiHidden/>
    <w:rsid w:val="00DB3C84"/>
    <w:rPr>
      <w:rFonts w:eastAsiaTheme="minorEastAsia"/>
      <w:b/>
      <w:bCs/>
      <w:kern w:val="0"/>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801</Words>
  <Characters>4566</Characters>
  <Application>Microsoft Office Word</Application>
  <DocSecurity>0</DocSecurity>
  <Lines>38</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Valerija Korolenko</dc:creator>
  <cp:keywords/>
  <dc:description/>
  <cp:lastModifiedBy>Valerija Korolenko</cp:lastModifiedBy>
  <cp:revision>7</cp:revision>
  <dcterms:created xsi:type="dcterms:W3CDTF">2025-02-12T12:54:00Z</dcterms:created>
  <dcterms:modified xsi:type="dcterms:W3CDTF">2025-02-13T07:58:00Z</dcterms:modified>
</cp:coreProperties>
</file>